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overflowPunct w:val="0"/>
        <w:spacing w:after="0" w:line="580" w:lineRule="exact"/>
        <w:rPr>
          <w:rFonts w:hint="eastAsia" w:ascii="Times New Roman" w:hAnsi="Times New Roman" w:eastAsia="方正小标宋_GBK" w:cs="Times New Roman"/>
          <w:kern w:val="2"/>
        </w:rPr>
      </w:pPr>
      <w:bookmarkStart w:id="0" w:name="_GoBack"/>
      <w:r>
        <w:rPr>
          <w:rFonts w:hint="eastAsia" w:ascii="Times New Roman" w:hAnsi="Times New Roman" w:eastAsia="方正小标宋_GBK" w:cs="Times New Roman"/>
          <w:kern w:val="2"/>
        </w:rPr>
        <w:t>苏州市推动可持续发展体系建设行动方案</w:t>
      </w:r>
    </w:p>
    <w:p>
      <w:pPr>
        <w:pStyle w:val="5"/>
        <w:widowControl w:val="0"/>
        <w:overflowPunct w:val="0"/>
        <w:spacing w:after="0" w:line="580" w:lineRule="exact"/>
        <w:rPr>
          <w:rFonts w:hint="eastAsia" w:ascii="Times New Roman" w:hAnsi="Times New Roman" w:eastAsia="方正小标宋_GBK" w:cs="Times New Roman"/>
          <w:kern w:val="2"/>
        </w:rPr>
      </w:pPr>
      <w:r>
        <w:rPr>
          <w:rFonts w:hint="eastAsia" w:ascii="Times New Roman" w:hAnsi="Times New Roman" w:eastAsia="方正小标宋_GBK" w:cs="Times New Roman"/>
          <w:kern w:val="2"/>
        </w:rPr>
        <w:t>（2026-2028年）</w:t>
      </w:r>
    </w:p>
    <w:bookmarkEnd w:id="0"/>
    <w:p>
      <w:pPr>
        <w:pStyle w:val="2"/>
        <w:overflowPunct w:val="0"/>
        <w:spacing w:after="0" w:line="580" w:lineRule="exact"/>
        <w:ind w:firstLine="640"/>
        <w:rPr>
          <w:rFonts w:eastAsia="方正仿宋_GBK" w:cs="Times New Roman"/>
          <w:spacing w:val="0"/>
        </w:rPr>
      </w:pPr>
    </w:p>
    <w:p>
      <w:pPr>
        <w:overflowPunct w:val="0"/>
        <w:spacing w:after="0" w:line="580" w:lineRule="exact"/>
        <w:ind w:firstLine="640" w:firstLineChars="200"/>
        <w:rPr>
          <w:rFonts w:ascii="Times New Roman" w:hAnsi="Times New Roman" w:eastAsia="仿宋_GB2312" w:cs="Times New Roman"/>
        </w:rPr>
      </w:pPr>
      <w:r>
        <w:rPr>
          <w:rFonts w:hint="eastAsia" w:ascii="Times New Roman" w:hAnsi="Times New Roman" w:eastAsia="仿宋_GB2312" w:cs="Times New Roman"/>
        </w:rPr>
        <w:t>为深入贯彻落实国家“双碳”战略，有效应对国际经贸与资本市场可持续发展新要求，持续推进优化营商环境与绿色低碳发展协同并进，深入践行服务企业、服务项目、服务园区和基层“三服务”工作要求，加快构建以企业为主体、数智化技术为支撑、彰显苏州特色、衔接国际规则的可持续发展生态体系，助力全市实体经济实现全面绿色转型。到2028年，全市基本形成机制健全、主体活跃、应用多元、生态完备的可持续发展格局。围绕“1030”产业体系，出台一批可持续发展相关披露评价指南或导则。聚焦服务业“1840”体系建设，引育一批国际知名可持续发展专业服务机构。打造高水平可持续发展高端智库，形成一支与产业需求相匹配的复合型人才队伍。</w:t>
      </w:r>
    </w:p>
    <w:p>
      <w:pPr>
        <w:pStyle w:val="4"/>
        <w:numPr>
          <w:ilvl w:val="0"/>
          <w:numId w:val="1"/>
        </w:numPr>
        <w:overflowPunct w:val="0"/>
        <w:spacing w:beforeAutospacing="0" w:afterAutospacing="0" w:line="580" w:lineRule="exact"/>
        <w:ind w:firstLine="640"/>
        <w:rPr>
          <w:rFonts w:ascii="Times New Roman" w:hAnsi="Times New Roman" w:eastAsia="黑体"/>
          <w:color w:val="000000"/>
          <w:kern w:val="2"/>
          <w:sz w:val="32"/>
          <w:szCs w:val="22"/>
        </w:rPr>
      </w:pPr>
      <w:r>
        <w:rPr>
          <w:rFonts w:hint="eastAsia" w:ascii="Times New Roman" w:hAnsi="Times New Roman" w:eastAsia="黑体"/>
          <w:color w:val="000000"/>
          <w:sz w:val="32"/>
          <w:szCs w:val="22"/>
        </w:rPr>
        <w:t>重点任务</w:t>
      </w:r>
    </w:p>
    <w:p>
      <w:pPr>
        <w:keepNext/>
        <w:keepLines/>
        <w:overflowPunct w:val="0"/>
        <w:spacing w:after="0" w:line="580" w:lineRule="exact"/>
        <w:ind w:firstLine="640"/>
        <w:outlineLvl w:val="1"/>
        <w:rPr>
          <w:rFonts w:ascii="Times New Roman" w:hAnsi="Times New Roman" w:eastAsia="黑体" w:cs="Times New Roman"/>
          <w:color w:val="000000"/>
          <w:kern w:val="2"/>
          <w:szCs w:val="28"/>
        </w:rPr>
      </w:pPr>
      <w:r>
        <w:rPr>
          <w:rFonts w:hint="eastAsia" w:ascii="Times New Roman" w:hAnsi="Times New Roman" w:eastAsia="黑体" w:cs="Times New Roman"/>
          <w:color w:val="000000"/>
          <w:kern w:val="2"/>
          <w:szCs w:val="28"/>
        </w:rPr>
        <w:t>（一）建立可持续发展评价与管理机制</w:t>
      </w:r>
    </w:p>
    <w:p>
      <w:pPr>
        <w:overflowPunct w:val="0"/>
        <w:spacing w:after="0" w:line="580" w:lineRule="exact"/>
        <w:ind w:firstLine="640" w:firstLineChars="200"/>
        <w:rPr>
          <w:rFonts w:ascii="Times New Roman" w:hAnsi="Times New Roman" w:eastAsia="楷体_GB2312" w:cs="方正楷体_GBK"/>
          <w:color w:val="000000"/>
          <w:kern w:val="2"/>
        </w:rPr>
      </w:pPr>
      <w:r>
        <w:rPr>
          <w:rFonts w:hint="eastAsia" w:ascii="Times New Roman" w:hAnsi="Times New Roman" w:eastAsia="楷体_GB2312" w:cs="方正楷体_GBK"/>
          <w:color w:val="000000"/>
          <w:kern w:val="2"/>
        </w:rPr>
        <w:t>1.构建苏州特色可持续发展评价指引。</w:t>
      </w:r>
      <w:r>
        <w:rPr>
          <w:rFonts w:hint="eastAsia" w:ascii="Times New Roman" w:hAnsi="Times New Roman" w:eastAsia="仿宋_GB2312" w:cs="Times New Roman"/>
        </w:rPr>
        <w:t>紧扣苏州市十大重点新兴产业和十大重点未来产业，聚焦电子信息、高端装备、先进材料、生物医药、新能源等重点产业集群，支持龙头企业、科研院所牵头研究制定符合本地制造业特征的可持续发展评价指引与管理规范，提升可持续发展能力。对标国际可持续准则理事会（ISSB）、全球报告倡议组织（GRI）等国际主流披露框架，指导企业提升信息披露合规水平，帮助企业熟悉并应对国际绿色贸易壁垒。</w:t>
      </w:r>
      <w:r>
        <w:rPr>
          <w:rFonts w:hint="eastAsia" w:ascii="Times New Roman" w:hAnsi="Times New Roman" w:eastAsia="楷体_GB2312" w:cs="方正楷体_GBK"/>
          <w:color w:val="000000"/>
          <w:kern w:val="2"/>
        </w:rPr>
        <w:t>（责任单位：市发改委、科技局、工信局、生态环境局、市场监管局、工商联等按职责分工负责）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2.推动区域与行业可持续发展试点先行。</w:t>
      </w:r>
      <w:r>
        <w:rPr>
          <w:rFonts w:hint="eastAsia" w:ascii="Times New Roman" w:hAnsi="Times New Roman" w:eastAsia="仿宋_GB2312" w:cs="Times New Roman"/>
        </w:rPr>
        <w:t>支持苏州工业园区等地区率先探索区域级可持续发展管理模式，形成可复制、可推广的试点经验。鼓励各县级市（区）结合产业基础和发展实际，开展区域级可持续发展评价体系建设与应用。推动开展行业试点，在生物医药、新能源、纺织等重点领域实施“一链一策”，支持行业领军企业先行实践，打造可复制推广的行业可持续发展治理样板。支持相关主体在可持续发展领域开展标准化试点建设。</w:t>
      </w:r>
      <w:r>
        <w:rPr>
          <w:rFonts w:hint="eastAsia" w:ascii="Times New Roman" w:hAnsi="Times New Roman" w:eastAsia="楷体_GB2312" w:cs="方正楷体_GBK"/>
          <w:color w:val="000000"/>
          <w:kern w:val="2"/>
        </w:rPr>
        <w:t>（责任单位：市发改委、工信局、市场监管局、工商联等按职责分工负责）</w:t>
      </w:r>
    </w:p>
    <w:p>
      <w:pPr>
        <w:keepNext/>
        <w:keepLines/>
        <w:overflowPunct w:val="0"/>
        <w:spacing w:after="0" w:line="580" w:lineRule="exact"/>
        <w:ind w:firstLine="640"/>
        <w:outlineLvl w:val="1"/>
        <w:rPr>
          <w:rFonts w:ascii="Times New Roman" w:hAnsi="Times New Roman" w:eastAsia="黑体" w:cs="Times New Roman"/>
          <w:color w:val="000000"/>
          <w:kern w:val="2"/>
          <w:szCs w:val="28"/>
        </w:rPr>
      </w:pPr>
      <w:r>
        <w:rPr>
          <w:rFonts w:hint="eastAsia" w:ascii="Times New Roman" w:hAnsi="Times New Roman" w:eastAsia="黑体" w:cs="Times New Roman"/>
          <w:color w:val="000000"/>
          <w:kern w:val="2"/>
          <w:szCs w:val="28"/>
        </w:rPr>
        <w:t>（二）分类提升企业可持续发展实践能力</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3.发挥国有企业示范引领作用。</w:t>
      </w:r>
      <w:r>
        <w:rPr>
          <w:rFonts w:hint="eastAsia" w:ascii="Times New Roman" w:hAnsi="Times New Roman" w:eastAsia="仿宋_GB2312" w:cs="Times New Roman"/>
        </w:rPr>
        <w:t>鼓励市区两级国企开展可持续发展信息披露评价，提升披露质量与规范化水平，建立健全绿色低碳供应链管理机制，在绿色低碳转型发展中发挥示范作用。支持央企在苏单位发挥总部级治理体系优势，将绿色低碳采购要求延伸传递至全链条，带动本地产业链配套企业协同提升可持续发展治理水平。</w:t>
      </w:r>
      <w:r>
        <w:rPr>
          <w:rFonts w:hint="eastAsia" w:ascii="Times New Roman" w:hAnsi="Times New Roman" w:eastAsia="楷体_GB2312" w:cs="方正楷体_GBK"/>
          <w:color w:val="000000"/>
          <w:kern w:val="2"/>
        </w:rPr>
        <w:t>（责任单位：市国资委牵头，市工信局等按职责分工负责）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4.提升上市公司可持续发展践行能力。</w:t>
      </w:r>
      <w:r>
        <w:rPr>
          <w:rFonts w:hint="eastAsia" w:ascii="Times New Roman" w:hAnsi="Times New Roman" w:eastAsia="仿宋_GB2312" w:cs="Times New Roman"/>
        </w:rPr>
        <w:t>深化与沪深北证券交易所的沟通协作，积极对接交易所面向上市公司和拟上市企业的培训资源。将可持续发展理念、环境社会及治理（ESG）信息披露规则等内容，有效融入专题培训与交流活动，推动企业紧跟监管导向和市场趋势。引导上市公司、拟上市企业等群体主动增强可持续发展意识，夯实信息披露基础，持续改善治理水平，更好把握绿色转型机遇、赢得资本市场价值认同。</w:t>
      </w:r>
      <w:r>
        <w:rPr>
          <w:rFonts w:hint="eastAsia" w:ascii="Times New Roman" w:hAnsi="Times New Roman" w:eastAsia="楷体_GB2312" w:cs="方正楷体_GBK"/>
          <w:color w:val="000000"/>
          <w:kern w:val="2"/>
        </w:rPr>
        <w:t>（责任单位：市委金融办、市工商联按职责分工负责）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5.发挥外资企业实践标杆效应。</w:t>
      </w:r>
      <w:r>
        <w:rPr>
          <w:rFonts w:hint="eastAsia" w:ascii="Times New Roman" w:hAnsi="Times New Roman" w:eastAsia="仿宋_GB2312" w:cs="Times New Roman"/>
        </w:rPr>
        <w:t>鼓励外资企业将其母公司全球可持续发展治理标准与苏州本地实践深度融合，在绿色制造、合规治理、可持续供应链等领域率先示范。支持外资企业开展可持续发展最佳实践分享与经验输出，推动国际先进可持续发展理念在苏落地转化。</w:t>
      </w:r>
      <w:r>
        <w:rPr>
          <w:rFonts w:hint="eastAsia" w:ascii="Times New Roman" w:hAnsi="Times New Roman" w:eastAsia="楷体_GB2312" w:cs="方正楷体_GBK"/>
          <w:color w:val="000000"/>
          <w:kern w:val="2"/>
        </w:rPr>
        <w:t>（责任单位：市发改委、商务局、市场监管局等按职责分工负责）</w:t>
      </w:r>
    </w:p>
    <w:p>
      <w:pPr>
        <w:overflowPunct w:val="0"/>
        <w:spacing w:after="0" w:line="580" w:lineRule="exact"/>
        <w:ind w:firstLine="640" w:firstLineChars="200"/>
        <w:rPr>
          <w:rFonts w:ascii="Times New Roman" w:hAnsi="Times New Roman" w:eastAsia="楷体_GB2312" w:cs="方正楷体_GBK"/>
          <w:color w:val="000000"/>
          <w:kern w:val="2"/>
        </w:rPr>
      </w:pPr>
      <w:r>
        <w:rPr>
          <w:rFonts w:hint="eastAsia" w:ascii="Times New Roman" w:hAnsi="Times New Roman" w:eastAsia="楷体_GB2312" w:cs="方正楷体_GBK"/>
          <w:color w:val="000000"/>
          <w:kern w:val="2"/>
        </w:rPr>
        <w:t>6.推动企业可持续发展协同建设。</w:t>
      </w:r>
      <w:r>
        <w:rPr>
          <w:rFonts w:hint="eastAsia" w:ascii="Times New Roman" w:hAnsi="Times New Roman" w:eastAsia="仿宋_GB2312" w:cs="Times New Roman"/>
        </w:rPr>
        <w:t>针对各类市场主体，根据企业规模、行业特征与治理基础实施分级分类辅导，帮助企业建立健全可持续发展管理架构。鼓励重点产业链“链主”企业将可持续发展要求全面纳入供应商准入、考评与采购管理体系。加强对出海企业关于欧盟碳边境调节机制（CBAM）、企业可持续发展报告指令（CSRD）等国际规则的宣贯与预警。</w:t>
      </w:r>
      <w:r>
        <w:rPr>
          <w:rFonts w:hint="eastAsia" w:ascii="Times New Roman" w:hAnsi="Times New Roman" w:eastAsia="楷体_GB2312" w:cs="方正楷体_GBK"/>
          <w:color w:val="000000"/>
          <w:kern w:val="2"/>
        </w:rPr>
        <w:t>（责任单位：市发改委、工信局、商务局、市场监管局、工商联等按职责分工负责）</w:t>
      </w:r>
    </w:p>
    <w:p>
      <w:pPr>
        <w:overflowPunct w:val="0"/>
        <w:spacing w:after="0" w:line="580" w:lineRule="exact"/>
        <w:ind w:firstLine="640" w:firstLineChars="200"/>
        <w:rPr>
          <w:rFonts w:ascii="Times New Roman" w:hAnsi="Times New Roman" w:eastAsia="黑体" w:cs="Times New Roman"/>
          <w:color w:val="000000"/>
          <w:kern w:val="2"/>
          <w:szCs w:val="28"/>
        </w:rPr>
      </w:pPr>
      <w:r>
        <w:rPr>
          <w:rFonts w:hint="eastAsia" w:ascii="Times New Roman" w:hAnsi="Times New Roman" w:eastAsia="黑体" w:cs="Times New Roman"/>
          <w:color w:val="000000"/>
          <w:kern w:val="2"/>
          <w:szCs w:val="28"/>
        </w:rPr>
        <w:t>（三）拓展可持续发展多元应用场景</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7.赋能高质量招商引资。</w:t>
      </w:r>
      <w:r>
        <w:rPr>
          <w:rFonts w:hint="eastAsia" w:ascii="Times New Roman" w:hAnsi="Times New Roman" w:eastAsia="仿宋_GB2312" w:cs="Times New Roman"/>
        </w:rPr>
        <w:t>将可持续发展评价体系深度融入招商引资全过程，作为优质项目引育、标杆企业引荐及产业链补链强链的重要参考。通过提升区域可持续发展治理软实力，进一步对接国际经贸高标准规则，优化国际化营商环境，引导全球优质资本、高端技术及绿色产业要素向苏州精准集聚。</w:t>
      </w:r>
      <w:r>
        <w:rPr>
          <w:rFonts w:hint="eastAsia" w:ascii="Times New Roman" w:hAnsi="Times New Roman" w:eastAsia="楷体_GB2312" w:cs="方正楷体_GBK"/>
          <w:color w:val="000000"/>
          <w:kern w:val="2"/>
        </w:rPr>
        <w:t>（责任单位：市发改委牵头，市科技局、工信局等按职责分工负责）</w:t>
      </w:r>
    </w:p>
    <w:p>
      <w:pPr>
        <w:overflowPunct w:val="0"/>
        <w:spacing w:after="0" w:line="580" w:lineRule="exact"/>
        <w:ind w:firstLine="640" w:firstLineChars="200"/>
        <w:rPr>
          <w:rFonts w:ascii="Times New Roman" w:hAnsi="Times New Roman" w:eastAsia="仿宋_GB2312" w:cs="Times New Roman"/>
        </w:rPr>
      </w:pPr>
      <w:r>
        <w:rPr>
          <w:rFonts w:hint="eastAsia" w:ascii="Times New Roman" w:hAnsi="Times New Roman" w:eastAsia="楷体_GB2312" w:cs="方正楷体_GBK"/>
          <w:color w:val="000000"/>
          <w:kern w:val="2"/>
        </w:rPr>
        <w:t>8.创新政府采购激励机制。</w:t>
      </w:r>
      <w:r>
        <w:rPr>
          <w:rFonts w:hint="eastAsia" w:ascii="Times New Roman" w:hAnsi="Times New Roman" w:eastAsia="仿宋_GB2312" w:cs="Times New Roman"/>
        </w:rPr>
        <w:t>探索在政府采购评审中合理纳入可持续发展评分因素，对披露质量高、表现优异的企业给予优先采购支持，提升绿色采购比例，形成“治理越优、订单越多”的激励机制。</w:t>
      </w:r>
      <w:r>
        <w:rPr>
          <w:rFonts w:hint="eastAsia" w:ascii="Times New Roman" w:hAnsi="Times New Roman" w:eastAsia="楷体_GB2312" w:cs="方正楷体_GBK"/>
          <w:color w:val="000000"/>
          <w:kern w:val="2"/>
        </w:rPr>
        <w:t>（责任单位：市财政局牵头）</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9.丰富可持续发展金融产品与服务。</w:t>
      </w:r>
      <w:r>
        <w:rPr>
          <w:rFonts w:hint="eastAsia" w:ascii="Times New Roman" w:hAnsi="Times New Roman" w:eastAsia="仿宋_GB2312" w:cs="Times New Roman"/>
        </w:rPr>
        <w:t>鼓励有条件的金融机构在依法合规前提下，将企业环境、社会与治理（ESG）相关信息嵌入信用评级与授信审批模型。创新开发可持续发展挂钩贷款、转型金融贷款等金融产品，推动融资成本与企业可持续发展表现动态挂钩。探索运用数字人民币等数字金融工具赋能绿色金融发展，利用其可追溯特性，提升绿色信贷资金使用的透明度和精准度，为企业提供精准、低成本的金融要素支持。</w:t>
      </w:r>
      <w:r>
        <w:rPr>
          <w:rFonts w:hint="eastAsia" w:ascii="Times New Roman" w:hAnsi="Times New Roman" w:eastAsia="楷体_GB2312" w:cs="方正楷体_GBK"/>
          <w:color w:val="000000"/>
          <w:kern w:val="2"/>
        </w:rPr>
        <w:t>（责任单位：市委金融办、人行苏州市分行、苏州金融监管分局按职责分工负责）</w:t>
      </w:r>
    </w:p>
    <w:p>
      <w:pPr>
        <w:keepNext/>
        <w:keepLines/>
        <w:overflowPunct w:val="0"/>
        <w:spacing w:after="0" w:line="580" w:lineRule="exact"/>
        <w:ind w:firstLine="640"/>
        <w:outlineLvl w:val="1"/>
        <w:rPr>
          <w:rFonts w:ascii="Times New Roman" w:hAnsi="Times New Roman" w:eastAsia="黑体" w:cs="Times New Roman"/>
          <w:color w:val="000000"/>
          <w:kern w:val="2"/>
          <w:szCs w:val="28"/>
        </w:rPr>
      </w:pPr>
      <w:r>
        <w:rPr>
          <w:rFonts w:hint="eastAsia" w:ascii="Times New Roman" w:hAnsi="Times New Roman" w:eastAsia="黑体" w:cs="Times New Roman"/>
          <w:color w:val="000000"/>
          <w:kern w:val="2"/>
          <w:szCs w:val="28"/>
        </w:rPr>
        <w:t>（四）强化可持续发展生态建设</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10.加强数智化赋能。</w:t>
      </w:r>
      <w:r>
        <w:rPr>
          <w:rFonts w:hint="eastAsia" w:ascii="Times New Roman" w:hAnsi="Times New Roman" w:eastAsia="仿宋_GB2312" w:cs="Times New Roman"/>
        </w:rPr>
        <w:t>支持可持续发展数字化平台建设，运用AI技术实现企业可持续发展信息披露数据、碳计量数据的自动采集、分析与预警。探索建立数字护照（DPP）体系，推动实现企业及产品级可持续信息的全链条追溯、可信存证与跨环节互认。支持相关可持续发展服务机构等强化大数据、AI等数字技术应用，提高评价结果、咨询方案及投资策略的全面性、客观性、精准性。探索运用区块链存证、AI合规审查等数字化监管手段，开展可持续发展信息披露验证，助力企业提升可持续发展信息披露成效。</w:t>
      </w:r>
      <w:r>
        <w:rPr>
          <w:rFonts w:hint="eastAsia" w:ascii="Times New Roman" w:hAnsi="Times New Roman" w:eastAsia="楷体_GB2312" w:cs="方正楷体_GBK"/>
          <w:color w:val="000000"/>
          <w:kern w:val="2"/>
        </w:rPr>
        <w:t>（责任单位：市发改委、工信局、商务局、数据局、工商联等按职责分工负责）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11.打造高水平服务载体。</w:t>
      </w:r>
      <w:r>
        <w:rPr>
          <w:rFonts w:hint="eastAsia" w:ascii="Times New Roman" w:hAnsi="Times New Roman" w:eastAsia="仿宋_GB2312" w:cs="Times New Roman"/>
        </w:rPr>
        <w:t>依托苏州ESG产业创新中心，搭建辐射全市、联动长三角的综合性可持续发展公共服务平台。紧扣服务业扩能提质，集聚培育一批具备行业影响力的可持续发展评级、咨询、审计、鉴证专业机构，搭建覆盖报告编制、评级提升、碳资产管理、供应链尽职调查的全链条专业服务矩阵。深化昆山高新区省级绿色金融创新改革试验区建设，加快布局产业引导基金，扩大绿色信贷规模，支持发行绿色债券、发展绿色保险，鼓励以碳排放权、排污权等环境权益作为抵（质）押物进行融资。</w:t>
      </w:r>
      <w:r>
        <w:rPr>
          <w:rFonts w:hint="eastAsia" w:ascii="Times New Roman" w:hAnsi="Times New Roman" w:eastAsia="楷体_GB2312" w:cs="方正楷体_GBK"/>
          <w:color w:val="000000"/>
          <w:kern w:val="2"/>
        </w:rPr>
        <w:t>（责任单位：市发改委、工商联牵头负责）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12.构建全产业链生态体系。</w:t>
      </w:r>
      <w:r>
        <w:rPr>
          <w:rFonts w:hint="eastAsia" w:ascii="Times New Roman" w:hAnsi="Times New Roman" w:eastAsia="仿宋_GB2312" w:cs="Times New Roman"/>
        </w:rPr>
        <w:t>以国家碳计量中心（江苏）建设为重要契机，前瞻布局碳计量、碳核算、碳足迹认证、碳数据运营、可持续发展信息鉴证等绿色低碳新兴赛道。深化可持续发展标准与实体经济深度融合，重点赋能新能源、节能环保、循环利用等绿色低碳主导产业，聚力发展乡村振兴、适老养老、普惠民生等社会责任领域产业，打造“技术研发支撑+多场景产业落地”的一体化可持续发展全产业链生态。</w:t>
      </w:r>
      <w:r>
        <w:rPr>
          <w:rFonts w:hint="eastAsia" w:ascii="Times New Roman" w:hAnsi="Times New Roman" w:eastAsia="楷体_GB2312" w:cs="方正楷体_GBK"/>
          <w:color w:val="000000"/>
          <w:kern w:val="2"/>
        </w:rPr>
        <w:t>（责任单位：市发改委、工信局、生态环境局、农业农村局、工商联等按职责分工负责）</w:t>
      </w:r>
    </w:p>
    <w:p>
      <w:pPr>
        <w:overflowPunct w:val="0"/>
        <w:spacing w:after="0" w:line="580" w:lineRule="exact"/>
        <w:ind w:firstLine="640" w:firstLineChars="200"/>
        <w:rPr>
          <w:rFonts w:ascii="Times New Roman" w:hAnsi="Times New Roman" w:eastAsia="仿宋_GB2312" w:cs="方正楷体_GB2312"/>
          <w:kern w:val="2"/>
        </w:rPr>
      </w:pPr>
      <w:r>
        <w:rPr>
          <w:rFonts w:hint="eastAsia" w:ascii="Times New Roman" w:hAnsi="Times New Roman" w:eastAsia="楷体_GB2312" w:cs="方正楷体_GBK"/>
          <w:color w:val="000000"/>
          <w:kern w:val="2"/>
        </w:rPr>
        <w:t>13.加快高标准人才培育。</w:t>
      </w:r>
      <w:r>
        <w:rPr>
          <w:rFonts w:hint="eastAsia" w:ascii="Times New Roman" w:hAnsi="Times New Roman" w:eastAsia="仿宋_GB2312" w:cs="Times New Roman"/>
        </w:rPr>
        <w:t>建立健全可持续发展人才培养体系，推动在苏高校、科研院所与行业领军企业、专业服务机构深度联动，组建可持续发展产教融合实训基地，培育一批精通政策规则、具备可持续发展实务操作能力的复合型人才。组建苏州市可持续发展高端智库，加快集聚国内外专家资源与实务领军人才。</w:t>
      </w:r>
      <w:r>
        <w:rPr>
          <w:rFonts w:hint="eastAsia" w:ascii="Times New Roman" w:hAnsi="Times New Roman" w:eastAsia="楷体_GB2312" w:cs="方正楷体_GBK"/>
          <w:color w:val="000000"/>
          <w:kern w:val="2"/>
        </w:rPr>
        <w:t>（责任单位：市教育局、科技局、人社局、工商联等按职责分工负责）</w:t>
      </w:r>
    </w:p>
    <w:p>
      <w:pPr>
        <w:overflowPunct w:val="0"/>
        <w:spacing w:after="0" w:line="580" w:lineRule="exact"/>
        <w:ind w:firstLine="640" w:firstLineChars="200"/>
        <w:rPr>
          <w:rFonts w:ascii="Times New Roman" w:hAnsi="Times New Roman" w:eastAsia="仿宋_GB2312" w:cs="Times New Roman"/>
          <w:kern w:val="44"/>
        </w:rPr>
      </w:pPr>
      <w:r>
        <w:rPr>
          <w:rFonts w:hint="eastAsia" w:ascii="Times New Roman" w:hAnsi="Times New Roman" w:eastAsia="楷体_GB2312" w:cs="方正楷体_GBK"/>
          <w:color w:val="000000"/>
          <w:kern w:val="2"/>
        </w:rPr>
        <w:t>14.深化交流互鉴合作。</w:t>
      </w:r>
      <w:r>
        <w:rPr>
          <w:rFonts w:hint="eastAsia" w:ascii="Times New Roman" w:hAnsi="Times New Roman" w:eastAsia="仿宋_GB2312" w:cs="Times New Roman"/>
        </w:rPr>
        <w:t>强化长三角协同发展，深化沪苏同城合作。依托长三角科技要素交易中心、数据要素流通服务平台等载体，探索可持续发展信息数据流动与交易场景，促进长三角人才、金融、技术等资源高效配置，聚焦绿色低碳、高端制造等重点领域布局跨区域示范项目，推动标准互认与成果共用。强化国际合作。充分发挥国际能源变革论坛联络办公室、国际“零碳零废”城市发展联盟影响力，加强与国际组织机构对接，深化规则互鉴与成果共享。深化与德国、新加坡、香港等国家和地区在可持续发展领域的交流，加强与“一带一路”共建国家在标准、项目、能力建设上的务实合作，提升本土可持续发展服务质效。</w:t>
      </w:r>
      <w:r>
        <w:rPr>
          <w:rFonts w:hint="eastAsia" w:ascii="Times New Roman" w:hAnsi="Times New Roman" w:eastAsia="楷体_GB2312" w:cs="方正楷体_GBK"/>
          <w:color w:val="000000"/>
          <w:kern w:val="2"/>
        </w:rPr>
        <w:t>（责任单位：市外办、发改委、工信局、市场监管局、工商联等按职责分工负责）</w:t>
      </w:r>
    </w:p>
    <w:p>
      <w:pPr>
        <w:keepNext/>
        <w:keepLines/>
        <w:overflowPunct w:val="0"/>
        <w:spacing w:after="0" w:line="580" w:lineRule="exact"/>
        <w:ind w:firstLine="640"/>
        <w:outlineLvl w:val="1"/>
        <w:rPr>
          <w:rFonts w:ascii="Times New Roman" w:hAnsi="Times New Roman" w:eastAsia="黑体" w:cs="Times New Roman"/>
          <w:color w:val="000000"/>
          <w:kern w:val="2"/>
          <w:szCs w:val="28"/>
        </w:rPr>
      </w:pPr>
      <w:r>
        <w:rPr>
          <w:rFonts w:hint="eastAsia" w:ascii="Times New Roman" w:hAnsi="Times New Roman" w:eastAsia="黑体" w:cs="Times New Roman"/>
          <w:color w:val="000000"/>
          <w:kern w:val="2"/>
          <w:szCs w:val="28"/>
        </w:rPr>
        <w:t>二、保障机制</w:t>
      </w:r>
    </w:p>
    <w:p>
      <w:pPr>
        <w:pStyle w:val="2"/>
        <w:overflowPunct w:val="0"/>
        <w:spacing w:after="0" w:line="580" w:lineRule="exact"/>
        <w:ind w:firstLine="640"/>
      </w:pPr>
      <w:r>
        <w:rPr>
          <w:rFonts w:hint="eastAsia" w:eastAsia="楷体_GB2312" w:cs="方正楷体_GBK"/>
          <w:color w:val="000000"/>
          <w:spacing w:val="0"/>
          <w:kern w:val="2"/>
        </w:rPr>
        <w:t>加强组织领导。</w:t>
      </w:r>
      <w:r>
        <w:rPr>
          <w:rFonts w:hint="eastAsia" w:cs="Times New Roman"/>
          <w:spacing w:val="0"/>
        </w:rPr>
        <w:t>建立市委金融办、市发改委、工信局、财政局、生态环境局、商务局、国资委、市场监管局、工商联、人行苏州市分行等部门和单位共同参与的可持续发展部门协调合作机制，统筹政策制定、资源整合和评估推进。加强对各部门落实可持续发展工作成效的跟踪评价，形成工作合力。各县级市（区）应因地制宜，保障可持续发展各项政策有效落地，确保可持续发展理念贯穿于产业规划与企业服务全过程。</w:t>
      </w:r>
      <w:r>
        <w:rPr>
          <w:rFonts w:hint="eastAsia" w:eastAsia="楷体_GB2312" w:cs="方正楷体_GBK"/>
          <w:color w:val="000000"/>
          <w:spacing w:val="0"/>
          <w:kern w:val="2"/>
        </w:rPr>
        <w:t>优化营商环境。</w:t>
      </w:r>
      <w:r>
        <w:rPr>
          <w:rFonts w:hint="eastAsia" w:cs="Times New Roman"/>
          <w:spacing w:val="0"/>
        </w:rPr>
        <w:t>深入践行“三服务”专项行动，将可持续发展评价作为企业精准服务、项目质量研判和园区绿色低碳转型的重要工具，提升招商引资、项目落地和企业服务的精准性、协同性和可持续性。运用财政奖补、贴息、政府采购等工具，争取超长期特别国债、中央预算内投资等资金，多渠道支持可持续发展。</w:t>
      </w:r>
      <w:r>
        <w:rPr>
          <w:rFonts w:hint="eastAsia" w:eastAsia="楷体_GB2312" w:cs="方正楷体_GBK"/>
          <w:color w:val="000000"/>
          <w:spacing w:val="0"/>
          <w:kern w:val="2"/>
        </w:rPr>
        <w:t>加强宣传推广。</w:t>
      </w:r>
      <w:r>
        <w:rPr>
          <w:rFonts w:hint="eastAsia" w:cs="Times New Roman"/>
          <w:spacing w:val="0"/>
        </w:rPr>
        <w:t>及时总结提炼苏州市企业在践行可持续发展理念方面的特色做法和先进经验，大力推广可复制、可借鉴、可操作的创新机制和典型案例。依托各类媒体，加大对可持续发展重点工作和突出成效的宣传，提高社会关注度、认知度，营造良好氛围。</w:t>
      </w:r>
    </w:p>
    <w:sectPr>
      <w:footerReference r:id="rId3" w:type="default"/>
      <w:footerReference r:id="rId4" w:type="even"/>
      <w:pgSz w:w="11906" w:h="16838"/>
      <w:pgMar w:top="1701" w:right="1361" w:bottom="1701" w:left="1361" w:header="851" w:footer="1417" w:gutter="0"/>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0" w:usb1="00000000" w:usb2="00000000" w:usb3="00000000" w:csb0="00000000" w:csb1="00000000"/>
  </w:font>
  <w:font w:name="方正楷体_GBK">
    <w:panose1 w:val="03000509000000000000"/>
    <w:charset w:val="86"/>
    <w:family w:val="script"/>
    <w:pitch w:val="default"/>
    <w:sig w:usb0="00000001" w:usb1="080E0000" w:usb2="00000000" w:usb3="00000000" w:csb0="00040000" w:csb1="00000000"/>
  </w:font>
  <w:font w:name="方正楷体_GB2312">
    <w:panose1 w:val="02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center;mso-position-horizontal-relative:margin;mso-wrap-style:none;z-index:251659264;mso-width-relative:page;mso-height-relative:page;" filled="f" stroked="f" coordsize="21600,21600" o:gfxdata="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AegHW0wAAAAYBAAAPAAAAAAAAAAEAIAAAACIA&#10;AABkcnMvZG93bnJldi54bWxQSwECFAAUAAAACACHTuJA+k7mmg4CAAAHBAAADgAAAAAAAAABACAA&#10;AAAiAQAAZHJzL2Uyb0RvYy54bWxQSwUGAAAAAAYABgBZAQAAogUAAAAA&#10;">
              <v:fill on="f" focussize="0,0"/>
              <v:stroke on="f" weight="0.5pt"/>
              <v:imagedata o:title=""/>
              <o:lock v:ext="edit" aspectratio="f"/>
              <v:textbox inset="0mm,0mm,0mm,0mm" style="mso-fit-shape-to-text:t;">
                <w:txbxContent>
                  <w:p>
                    <w:pPr>
                      <w:pStyle w:val="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center;mso-position-horizontal-relative:margin;mso-wrap-style:none;z-index:251660288;mso-width-relative:page;mso-height-relative:page;" filled="f" stroked="f" coordsize="21600,21600" o:gfxdata="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HoB1tMAAAAGAQAADwAAAAAAAAABACAAAAAi&#10;AAAAZHJzL2Rvd25yZXYueG1sUEsBAhQAFAAAAAgAh07iQHP4ZNkPAgAABwQAAA4AAAAAAAAAAQAg&#10;AAAAIgEAAGRycy9lMm9Eb2MueG1sUEsFBgAAAAAGAAYAWQEAAKMFAAAAAA==&#10;">
              <v:fill on="f" focussize="0,0"/>
              <v:stroke on="f" weight="0.5pt"/>
              <v:imagedata o:title=""/>
              <o:lock v:ext="edit" aspectratio="f"/>
              <v:textbox inset="0mm,0mm,0mm,0mm" style="mso-fit-shape-to-text:t;">
                <w:txbxContent>
                  <w:p>
                    <w:pPr>
                      <w:pStyle w:val="3"/>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8CA8F"/>
    <w:multiLevelType w:val="singleLevel"/>
    <w:tmpl w:val="26B8CA8F"/>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46828"/>
    <w:rsid w:val="22446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仿宋" w:hAnsi="仿宋" w:eastAsia="仿宋" w:cs="仿宋"/>
      <w:sz w:val="32"/>
      <w:szCs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line="560" w:lineRule="exact"/>
      <w:ind w:firstLine="630" w:firstLineChars="200"/>
    </w:pPr>
    <w:rPr>
      <w:rFonts w:ascii="Times New Roman" w:hAnsi="Times New Roman" w:eastAsia="仿宋_GB2312" w:cs="仿宋_GB2312"/>
      <w:spacing w:val="-6"/>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Autospacing="1" w:after="0" w:afterAutospacing="1"/>
      <w:jc w:val="left"/>
    </w:pPr>
    <w:rPr>
      <w:rFonts w:cs="Times New Roman"/>
      <w:sz w:val="24"/>
    </w:rPr>
  </w:style>
  <w:style w:type="paragraph" w:styleId="5">
    <w:name w:val="Title"/>
    <w:qFormat/>
    <w:uiPriority w:val="0"/>
    <w:pPr>
      <w:spacing w:after="160" w:line="720" w:lineRule="exact"/>
      <w:jc w:val="center"/>
    </w:pPr>
    <w:rPr>
      <w:rFonts w:ascii="方正小标宋简体" w:hAnsi="方正小标宋简体" w:eastAsia="方正小标宋简体" w:cs="方正小标宋简体"/>
      <w:sz w:val="44"/>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2026-06-30T06:52:00Z</dcterms:created>
  <dc:creator>不知名奶茶鉴定家</dc:creator>
  <cp:lastModifiedBy>不知名奶茶鉴定家</cp:lastModifiedBy>
  <dcterms:modified xsi:type="dcterms:W3CDTF">2026-06-30T06:52:54Z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