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pPr>
      <w:bookmarkStart w:id="0" w:name="_GoBack"/>
      <w:bookmarkEnd w:id="0"/>
      <w:r>
        <w:rPr>
          <w:rFonts w:hint="eastAsia"/>
        </w:rPr>
        <w:t>苏州发展改革决策咨询课题指南</w:t>
      </w:r>
    </w:p>
    <w:p>
      <w:pPr>
        <w:pStyle w:val="20"/>
        <w:rPr>
          <w:sz w:val="40"/>
        </w:rPr>
      </w:pPr>
      <w:r>
        <w:rPr>
          <w:rFonts w:hint="eastAsia"/>
          <w:sz w:val="40"/>
        </w:rPr>
        <w:t>（20</w:t>
      </w:r>
      <w:r>
        <w:rPr>
          <w:sz w:val="40"/>
        </w:rPr>
        <w:t>2</w:t>
      </w:r>
      <w:r>
        <w:rPr>
          <w:rFonts w:hint="eastAsia"/>
          <w:sz w:val="40"/>
        </w:rPr>
        <w:t>4年度第一批）</w:t>
      </w:r>
    </w:p>
    <w:p>
      <w:pPr>
        <w:ind w:firstLine="640"/>
      </w:pPr>
    </w:p>
    <w:p>
      <w:pPr>
        <w:ind w:firstLine="643"/>
        <w:rPr>
          <w:rFonts w:ascii="楷体_GB2312" w:eastAsia="楷体_GB2312"/>
          <w:b/>
        </w:rPr>
      </w:pPr>
      <w:r>
        <w:rPr>
          <w:rFonts w:hint="eastAsia" w:ascii="楷体_GB2312" w:eastAsia="楷体_GB2312"/>
          <w:b/>
        </w:rPr>
        <w:t>说明：研究内容不限于以下所列要点，具体可由课题承担单位与市发展改革委协商并适当调整。</w:t>
      </w:r>
    </w:p>
    <w:p>
      <w:pPr>
        <w:ind w:firstLine="640"/>
      </w:pPr>
    </w:p>
    <w:p>
      <w:pPr>
        <w:pStyle w:val="3"/>
        <w:ind w:firstLine="643"/>
      </w:pPr>
      <w:r>
        <w:t>1</w:t>
      </w:r>
      <w:r>
        <w:rPr>
          <w:rFonts w:hint="eastAsia"/>
        </w:rPr>
        <w:t>.关于加快转变城市发展方式问题研究</w:t>
      </w:r>
    </w:p>
    <w:p>
      <w:pPr>
        <w:ind w:firstLine="640"/>
      </w:pPr>
      <w:r>
        <w:rPr>
          <w:rFonts w:hint="eastAsia"/>
        </w:rPr>
        <w:t>完成时间：2</w:t>
      </w:r>
      <w:r>
        <w:t>02</w:t>
      </w:r>
      <w:r>
        <w:rPr>
          <w:rFonts w:hint="eastAsia"/>
        </w:rPr>
        <w:t>4年1</w:t>
      </w:r>
      <w:r>
        <w:t>1</w:t>
      </w:r>
      <w:r>
        <w:rPr>
          <w:rFonts w:hint="eastAsia"/>
        </w:rPr>
        <w:t>月</w:t>
      </w:r>
    </w:p>
    <w:p>
      <w:pPr>
        <w:ind w:firstLine="640"/>
      </w:pPr>
      <w:r>
        <w:rPr>
          <w:rFonts w:hint="eastAsia"/>
        </w:rPr>
        <w:t>经费预算：</w:t>
      </w:r>
      <w:r>
        <w:t>18</w:t>
      </w:r>
      <w:r>
        <w:rPr>
          <w:rFonts w:hint="eastAsia"/>
        </w:rPr>
        <w:t>万以内</w:t>
      </w:r>
    </w:p>
    <w:p>
      <w:pPr>
        <w:ind w:firstLine="640"/>
      </w:pPr>
      <w:r>
        <w:t>研究重点：</w:t>
      </w:r>
      <w:r>
        <w:rPr>
          <w:rFonts w:hint="eastAsia"/>
        </w:rPr>
        <w:t>（1）总结苏州城市发展历程和发展方式，评估苏州现行城市规划、建设、管理和服务情况，分析苏州推进转变城市发展方式的必要性和紧迫性；（2）梳理城市发展方式转变的理论研究，研究城市发展方式转变的基本方式和策略；（3）立足现状，面向未来，分析苏州现行城市发展方式的主要问题和堵点；（4）借鉴国内外同类城市转变城市发展方式经验，梳理对苏州具有借鉴意义的重点举措；（5）综合提出苏州转变城市发展方式的总体目标及具体任务，并针对苏州大市各市（区）分类提出相关策略建议。</w:t>
      </w:r>
    </w:p>
    <w:p>
      <w:pPr>
        <w:pStyle w:val="3"/>
        <w:ind w:firstLine="643"/>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.苏州促进民间投资发展对策研究</w:t>
      </w:r>
    </w:p>
    <w:p>
      <w:pPr>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完成时间：2</w:t>
      </w:r>
      <w:r>
        <w:rPr>
          <w:color w:val="000000" w:themeColor="text1"/>
          <w14:textFill>
            <w14:solidFill>
              <w14:schemeClr w14:val="tx1"/>
            </w14:solidFill>
          </w14:textFill>
        </w:rPr>
        <w:t>02</w:t>
      </w:r>
      <w:r>
        <w:rPr>
          <w:rFonts w:hint="eastAsia"/>
          <w:color w:val="000000" w:themeColor="text1"/>
          <w14:textFill>
            <w14:solidFill>
              <w14:schemeClr w14:val="tx1"/>
            </w14:solidFill>
          </w14:textFill>
        </w:rPr>
        <w:t>4年1</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月</w:t>
      </w:r>
    </w:p>
    <w:p>
      <w:pPr>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经费预算：</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5万以内</w:t>
      </w:r>
    </w:p>
    <w:p>
      <w:pPr>
        <w:ind w:firstLine="640"/>
        <w:rPr>
          <w:color w:val="000000" w:themeColor="text1"/>
          <w14:textFill>
            <w14:solidFill>
              <w14:schemeClr w14:val="tx1"/>
            </w14:solidFill>
          </w14:textFill>
        </w:rPr>
      </w:pPr>
      <w:r>
        <w:rPr>
          <w:color w:val="000000" w:themeColor="text1"/>
          <w14:textFill>
            <w14:solidFill>
              <w14:schemeClr w14:val="tx1"/>
            </w14:solidFill>
          </w14:textFill>
        </w:rPr>
        <w:t>研究重点：</w:t>
      </w:r>
      <w:r>
        <w:rPr>
          <w:rFonts w:hint="eastAsia"/>
          <w:color w:val="000000" w:themeColor="text1"/>
          <w14:textFill>
            <w14:solidFill>
              <w14:schemeClr w14:val="tx1"/>
            </w14:solidFill>
          </w14:textFill>
        </w:rPr>
        <w:t>（1）研究近五年来苏州民间投资发展情况；（2）梳理支持民间资本参与的相关细分行业的发展规划、产业政策、投资管理要求、财政金融政策等内容；（3）研究国内民间投资项目政策支持相关的典型案例，总结相关经验；（4）提出苏州促进民间投资发展的工作目标及相关政策建议。</w:t>
      </w:r>
    </w:p>
    <w:p>
      <w:pPr>
        <w:pStyle w:val="3"/>
        <w:ind w:firstLine="643"/>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.苏州绿电绿证消费需求和应用场景研究</w:t>
      </w:r>
    </w:p>
    <w:p>
      <w:pPr>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完成时间：2</w:t>
      </w:r>
      <w:r>
        <w:rPr>
          <w:color w:val="000000" w:themeColor="text1"/>
          <w14:textFill>
            <w14:solidFill>
              <w14:schemeClr w14:val="tx1"/>
            </w14:solidFill>
          </w14:textFill>
        </w:rPr>
        <w:t>02</w:t>
      </w:r>
      <w:r>
        <w:rPr>
          <w:rFonts w:hint="eastAsia"/>
          <w:color w:val="000000" w:themeColor="text1"/>
          <w14:textFill>
            <w14:solidFill>
              <w14:schemeClr w14:val="tx1"/>
            </w14:solidFill>
          </w14:textFill>
        </w:rPr>
        <w:t>4年11月</w:t>
      </w:r>
    </w:p>
    <w:p>
      <w:pPr>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经费预算：20万以内</w:t>
      </w:r>
    </w:p>
    <w:p>
      <w:pPr>
        <w:ind w:firstLine="640"/>
        <w:rPr>
          <w:color w:val="70AD47" w:themeColor="accent6"/>
          <w14:textFill>
            <w14:solidFill>
              <w14:schemeClr w14:val="accent6"/>
            </w14:solidFill>
          </w14:textFill>
        </w:rPr>
      </w:pPr>
      <w:r>
        <w:rPr>
          <w:rFonts w:hint="eastAsia"/>
          <w:color w:val="000000" w:themeColor="text1"/>
          <w14:textFill>
            <w14:solidFill>
              <w14:schemeClr w14:val="tx1"/>
            </w14:solidFill>
          </w14:textFill>
        </w:rPr>
        <w:t>研究重点</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（1）精准摸排、归纳汇总在苏跨国企业、出口型企业、高能耗企业、数据中心等重点电力用户的绿电、绿证需求</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（2）分析苏州当前绿色电力交易证书的应用现状，总结特征、成就亮点与不足之处；（</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）结合国内外经验做法，探索苏州绿电绿证多元化应用场景拓展的新路径；（4）提出激活绿电绿证交易市场的相关对策建议。</w:t>
      </w:r>
    </w:p>
    <w:p>
      <w:pPr>
        <w:pStyle w:val="3"/>
        <w:ind w:firstLine="643"/>
        <w:rPr>
          <w:color w:val="000000" w:themeColor="text1"/>
          <w14:textFill>
            <w14:solidFill>
              <w14:schemeClr w14:val="tx1"/>
            </w14:solidFill>
          </w14:textFill>
        </w:rPr>
      </w:pPr>
      <w:r>
        <w:rPr>
          <w:color w:val="000000" w:themeColor="text1"/>
          <w14:textFill>
            <w14:solidFill>
              <w14:schemeClr w14:val="tx1"/>
            </w14:solidFill>
          </w14:textFill>
        </w:rPr>
        <w:t>4</w:t>
      </w:r>
      <w:r>
        <w:rPr>
          <w:rFonts w:hint="eastAsia"/>
          <w:color w:val="000000" w:themeColor="text1"/>
          <w14:textFill>
            <w14:solidFill>
              <w14:schemeClr w14:val="tx1"/>
            </w14:solidFill>
          </w14:textFill>
        </w:rPr>
        <w:t>.苏州新型储能产业发展路径研究</w:t>
      </w:r>
    </w:p>
    <w:p>
      <w:pPr>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完成时间：2</w:t>
      </w:r>
      <w:r>
        <w:rPr>
          <w:color w:val="000000" w:themeColor="text1"/>
          <w14:textFill>
            <w14:solidFill>
              <w14:schemeClr w14:val="tx1"/>
            </w14:solidFill>
          </w14:textFill>
        </w:rPr>
        <w:t>02</w:t>
      </w:r>
      <w:r>
        <w:rPr>
          <w:rFonts w:hint="eastAsia"/>
          <w:color w:val="000000" w:themeColor="text1"/>
          <w14:textFill>
            <w14:solidFill>
              <w14:schemeClr w14:val="tx1"/>
            </w14:solidFill>
          </w14:textFill>
        </w:rPr>
        <w:t>4年10月</w:t>
      </w:r>
    </w:p>
    <w:p>
      <w:pPr>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经费预算：</w:t>
      </w:r>
      <w:r>
        <w:rPr>
          <w:color w:val="000000" w:themeColor="text1"/>
          <w14:textFill>
            <w14:solidFill>
              <w14:schemeClr w14:val="tx1"/>
            </w14:solidFill>
          </w14:textFill>
        </w:rPr>
        <w:t>20</w:t>
      </w:r>
      <w:r>
        <w:rPr>
          <w:rFonts w:hint="eastAsia"/>
          <w:color w:val="000000" w:themeColor="text1"/>
          <w14:textFill>
            <w14:solidFill>
              <w14:schemeClr w14:val="tx1"/>
            </w14:solidFill>
          </w14:textFill>
        </w:rPr>
        <w:t>万以内</w:t>
      </w:r>
    </w:p>
    <w:p>
      <w:pPr>
        <w:ind w:firstLine="640"/>
        <w:rPr>
          <w:color w:val="70AD47" w:themeColor="accent6"/>
          <w14:textFill>
            <w14:solidFill>
              <w14:schemeClr w14:val="accent6"/>
            </w14:solidFill>
          </w14:textFill>
        </w:rPr>
      </w:pPr>
      <w:r>
        <w:rPr>
          <w:rFonts w:hint="eastAsia"/>
          <w:color w:val="000000" w:themeColor="text1"/>
          <w14:textFill>
            <w14:solidFill>
              <w14:schemeClr w14:val="tx1"/>
            </w14:solidFill>
          </w14:textFill>
        </w:rPr>
        <w:t>研究</w:t>
      </w:r>
      <w:r>
        <w:rPr>
          <w:color w:val="000000" w:themeColor="text1"/>
          <w14:textFill>
            <w14:solidFill>
              <w14:schemeClr w14:val="tx1"/>
            </w14:solidFill>
          </w14:textFill>
        </w:rPr>
        <w:t>重点：</w:t>
      </w:r>
      <w:r>
        <w:rPr>
          <w:rFonts w:hint="eastAsia"/>
          <w:color w:val="000000" w:themeColor="text1"/>
          <w14:textFill>
            <w14:solidFill>
              <w14:schemeClr w14:val="tx1"/>
            </w14:solidFill>
          </w14:textFill>
        </w:rPr>
        <w:t>（1）梳理苏州新型储能产业发展现状，摸清产业企业分布、产业链价值链位置；（2）总结归纳苏州发展新型储能的优势、劣势、机遇与挑战；（3）提出苏州新型储能产业的发展思路、发展目标、重点任务，针对产业强链补链延链提出具体发展路径及保障措施。</w:t>
      </w:r>
    </w:p>
    <w:p>
      <w:pPr>
        <w:pStyle w:val="3"/>
        <w:ind w:firstLine="643"/>
        <w:rPr>
          <w:color w:val="000000" w:themeColor="text1"/>
          <w14:textFill>
            <w14:solidFill>
              <w14:schemeClr w14:val="tx1"/>
            </w14:solidFill>
          </w14:textFill>
        </w:rPr>
      </w:pPr>
      <w:r>
        <w:rPr>
          <w:color w:val="000000" w:themeColor="text1"/>
          <w14:textFill>
            <w14:solidFill>
              <w14:schemeClr w14:val="tx1"/>
            </w14:solidFill>
          </w14:textFill>
        </w:rPr>
        <w:t>5</w:t>
      </w:r>
      <w:r>
        <w:rPr>
          <w:rFonts w:hint="eastAsia"/>
          <w:color w:val="000000" w:themeColor="text1"/>
          <w14:textFill>
            <w14:solidFill>
              <w14:schemeClr w14:val="tx1"/>
            </w14:solidFill>
          </w14:textFill>
        </w:rPr>
        <w:t>.新形势下苏州油气管道安全应急管理及应急机制研究</w:t>
      </w:r>
    </w:p>
    <w:p>
      <w:pPr>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完成时间：2</w:t>
      </w:r>
      <w:r>
        <w:rPr>
          <w:color w:val="000000" w:themeColor="text1"/>
          <w14:textFill>
            <w14:solidFill>
              <w14:schemeClr w14:val="tx1"/>
            </w14:solidFill>
          </w14:textFill>
        </w:rPr>
        <w:t>02</w:t>
      </w:r>
      <w:r>
        <w:rPr>
          <w:rFonts w:hint="eastAsia"/>
          <w:color w:val="000000" w:themeColor="text1"/>
          <w14:textFill>
            <w14:solidFill>
              <w14:schemeClr w14:val="tx1"/>
            </w14:solidFill>
          </w14:textFill>
        </w:rPr>
        <w:t>4年</w:t>
      </w:r>
      <w:r>
        <w:rPr>
          <w:color w:val="000000" w:themeColor="text1"/>
          <w14:textFill>
            <w14:solidFill>
              <w14:schemeClr w14:val="tx1"/>
            </w14:solidFill>
          </w14:textFill>
        </w:rPr>
        <w:t>10</w:t>
      </w:r>
      <w:r>
        <w:rPr>
          <w:rFonts w:hint="eastAsia"/>
          <w:color w:val="000000" w:themeColor="text1"/>
          <w14:textFill>
            <w14:solidFill>
              <w14:schemeClr w14:val="tx1"/>
            </w14:solidFill>
          </w14:textFill>
        </w:rPr>
        <w:t>月</w:t>
      </w:r>
    </w:p>
    <w:p>
      <w:pPr>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经费预算：20万以内</w:t>
      </w:r>
    </w:p>
    <w:p>
      <w:pPr>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研究</w:t>
      </w:r>
      <w:r>
        <w:rPr>
          <w:color w:val="000000" w:themeColor="text1"/>
          <w14:textFill>
            <w14:solidFill>
              <w14:schemeClr w14:val="tx1"/>
            </w14:solidFill>
          </w14:textFill>
        </w:rPr>
        <w:t>重点：</w:t>
      </w:r>
      <w:r>
        <w:rPr>
          <w:rFonts w:hint="eastAsia"/>
          <w:color w:val="000000" w:themeColor="text1"/>
          <w14:textFill>
            <w14:solidFill>
              <w14:schemeClr w14:val="tx1"/>
            </w14:solidFill>
          </w14:textFill>
        </w:rPr>
        <w:t>（1）基于企业、属地、部门等不同层次，开展苏州油气管道保护应急管理理论研究；（2）基于苏州现状，坚持问题导向、目标导向、结果导向，提出建立健全苏州油气管道应急管理体系和应急响应机制的</w:t>
      </w:r>
      <w:r>
        <w:rPr>
          <w:color w:val="000000" w:themeColor="text1"/>
          <w14:textFill>
            <w14:solidFill>
              <w14:schemeClr w14:val="tx1"/>
            </w14:solidFill>
          </w14:textFill>
        </w:rPr>
        <w:t>建议</w:t>
      </w:r>
      <w:r>
        <w:rPr>
          <w:rFonts w:hint="eastAsia"/>
          <w:color w:val="000000" w:themeColor="text1"/>
          <w14:textFill>
            <w14:solidFill>
              <w14:schemeClr w14:val="tx1"/>
            </w14:solidFill>
          </w14:textFill>
        </w:rPr>
        <w:t>；（3）研究油气输送管道保护应急预案响应程序和问题处理的可行方法，为苏州油气输送管道应急管理提供理论和实践指导。</w:t>
      </w:r>
    </w:p>
    <w:p>
      <w:pPr>
        <w:pStyle w:val="3"/>
        <w:ind w:firstLine="643"/>
        <w:rPr>
          <w:color w:val="000000" w:themeColor="text1"/>
          <w14:textFill>
            <w14:solidFill>
              <w14:schemeClr w14:val="tx1"/>
            </w14:solidFill>
          </w14:textFill>
        </w:rPr>
      </w:pPr>
      <w:r>
        <w:rPr>
          <w:color w:val="000000" w:themeColor="text1"/>
          <w14:textFill>
            <w14:solidFill>
              <w14:schemeClr w14:val="tx1"/>
            </w14:solidFill>
          </w14:textFill>
        </w:rPr>
        <w:t>6</w:t>
      </w:r>
      <w:r>
        <w:rPr>
          <w:rFonts w:hint="eastAsia"/>
          <w:color w:val="000000" w:themeColor="text1"/>
          <w14:textFill>
            <w14:solidFill>
              <w14:schemeClr w14:val="tx1"/>
            </w14:solidFill>
          </w14:textFill>
        </w:rPr>
        <w:t>.长三角一体化背景下沪苏产业科技协同路径研究</w:t>
      </w:r>
    </w:p>
    <w:p>
      <w:pPr>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完成时间：2</w:t>
      </w:r>
      <w:r>
        <w:rPr>
          <w:color w:val="000000" w:themeColor="text1"/>
          <w14:textFill>
            <w14:solidFill>
              <w14:schemeClr w14:val="tx1"/>
            </w14:solidFill>
          </w14:textFill>
        </w:rPr>
        <w:t>02</w:t>
      </w:r>
      <w:r>
        <w:rPr>
          <w:rFonts w:hint="eastAsia"/>
          <w:color w:val="000000" w:themeColor="text1"/>
          <w14:textFill>
            <w14:solidFill>
              <w14:schemeClr w14:val="tx1"/>
            </w14:solidFill>
          </w14:textFill>
        </w:rPr>
        <w:t>4年</w:t>
      </w:r>
      <w:r>
        <w:rPr>
          <w:color w:val="000000" w:themeColor="text1"/>
          <w14:textFill>
            <w14:solidFill>
              <w14:schemeClr w14:val="tx1"/>
            </w14:solidFill>
          </w14:textFill>
        </w:rPr>
        <w:t>10</w:t>
      </w:r>
      <w:r>
        <w:rPr>
          <w:rFonts w:hint="eastAsia"/>
          <w:color w:val="000000" w:themeColor="text1"/>
          <w14:textFill>
            <w14:solidFill>
              <w14:schemeClr w14:val="tx1"/>
            </w14:solidFill>
          </w14:textFill>
        </w:rPr>
        <w:t>月</w:t>
      </w:r>
    </w:p>
    <w:p>
      <w:pPr>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经费预算：</w:t>
      </w:r>
      <w:r>
        <w:rPr>
          <w:color w:val="000000" w:themeColor="text1"/>
          <w14:textFill>
            <w14:solidFill>
              <w14:schemeClr w14:val="tx1"/>
            </w14:solidFill>
          </w14:textFill>
        </w:rPr>
        <w:t>18</w:t>
      </w:r>
      <w:r>
        <w:rPr>
          <w:rFonts w:hint="eastAsia"/>
          <w:color w:val="000000" w:themeColor="text1"/>
          <w14:textFill>
            <w14:solidFill>
              <w14:schemeClr w14:val="tx1"/>
            </w14:solidFill>
          </w14:textFill>
        </w:rPr>
        <w:t>万以内</w:t>
      </w:r>
    </w:p>
    <w:p>
      <w:pPr>
        <w:ind w:firstLine="640"/>
        <w:rPr>
          <w:color w:val="70AD47" w:themeColor="accent6"/>
          <w14:textFill>
            <w14:solidFill>
              <w14:schemeClr w14:val="accent6"/>
            </w14:solidFill>
          </w14:textFill>
        </w:rPr>
      </w:pPr>
      <w:r>
        <w:rPr>
          <w:rFonts w:hint="eastAsia"/>
          <w:color w:val="000000" w:themeColor="text1"/>
          <w14:textFill>
            <w14:solidFill>
              <w14:schemeClr w14:val="tx1"/>
            </w14:solidFill>
          </w14:textFill>
        </w:rPr>
        <w:t>研究</w:t>
      </w:r>
      <w:r>
        <w:rPr>
          <w:color w:val="000000" w:themeColor="text1"/>
          <w14:textFill>
            <w14:solidFill>
              <w14:schemeClr w14:val="tx1"/>
            </w14:solidFill>
          </w14:textFill>
        </w:rPr>
        <w:t>重点：</w:t>
      </w:r>
      <w:r>
        <w:rPr>
          <w:rFonts w:hint="eastAsia"/>
          <w:color w:val="000000" w:themeColor="text1"/>
          <w14:textFill>
            <w14:solidFill>
              <w14:schemeClr w14:val="tx1"/>
            </w14:solidFill>
          </w14:textFill>
        </w:rPr>
        <w:t>（1）着眼新质生产力，聚焦生物医药和电子信息等产业链，对产业链各环节代表性企业和平台机构开展调研调查研究；（2）针对上述产业链沪苏（州）分工和协作现状，梳理总结调研对象意见、诉求，形成调查研究报告；（3）针对沪苏（州）产业科技协同，对苏州完善产业布局、优化营商环境、提升服务能力、推进一体化共建等</w:t>
      </w:r>
      <w:r>
        <w:rPr>
          <w:color w:val="000000" w:themeColor="text1"/>
          <w14:textFill>
            <w14:solidFill>
              <w14:schemeClr w14:val="tx1"/>
            </w14:solidFill>
          </w14:textFill>
        </w:rPr>
        <w:t>方面</w:t>
      </w:r>
      <w:r>
        <w:rPr>
          <w:rFonts w:hint="eastAsia"/>
          <w:color w:val="000000" w:themeColor="text1"/>
          <w14:textFill>
            <w14:solidFill>
              <w14:schemeClr w14:val="tx1"/>
            </w14:solidFill>
          </w14:textFill>
        </w:rPr>
        <w:t>提出对策建议。</w:t>
      </w:r>
    </w:p>
    <w:p>
      <w:pPr>
        <w:pStyle w:val="3"/>
        <w:ind w:firstLine="643"/>
        <w:rPr>
          <w:color w:val="000000" w:themeColor="text1"/>
          <w14:textFill>
            <w14:solidFill>
              <w14:schemeClr w14:val="tx1"/>
            </w14:solidFill>
          </w14:textFill>
        </w:rPr>
      </w:pPr>
      <w:r>
        <w:rPr>
          <w:color w:val="000000" w:themeColor="text1"/>
          <w14:textFill>
            <w14:solidFill>
              <w14:schemeClr w14:val="tx1"/>
            </w14:solidFill>
          </w14:textFill>
        </w:rPr>
        <w:t>7</w:t>
      </w:r>
      <w:r>
        <w:rPr>
          <w:rFonts w:hint="eastAsia"/>
          <w:color w:val="000000" w:themeColor="text1"/>
          <w14:textFill>
            <w14:solidFill>
              <w14:schemeClr w14:val="tx1"/>
            </w14:solidFill>
          </w14:textFill>
        </w:rPr>
        <w:t>.深化虹桥国际开放枢纽共建研究</w:t>
      </w:r>
    </w:p>
    <w:p>
      <w:pPr>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完成时间：2</w:t>
      </w:r>
      <w:r>
        <w:rPr>
          <w:color w:val="000000" w:themeColor="text1"/>
          <w14:textFill>
            <w14:solidFill>
              <w14:schemeClr w14:val="tx1"/>
            </w14:solidFill>
          </w14:textFill>
        </w:rPr>
        <w:t>02</w:t>
      </w:r>
      <w:r>
        <w:rPr>
          <w:rFonts w:hint="eastAsia"/>
          <w:color w:val="000000" w:themeColor="text1"/>
          <w14:textFill>
            <w14:solidFill>
              <w14:schemeClr w14:val="tx1"/>
            </w14:solidFill>
          </w14:textFill>
        </w:rPr>
        <w:t>4年</w:t>
      </w:r>
      <w:r>
        <w:rPr>
          <w:color w:val="000000" w:themeColor="text1"/>
          <w14:textFill>
            <w14:solidFill>
              <w14:schemeClr w14:val="tx1"/>
            </w14:solidFill>
          </w14:textFill>
        </w:rPr>
        <w:t>10</w:t>
      </w:r>
      <w:r>
        <w:rPr>
          <w:rFonts w:hint="eastAsia"/>
          <w:color w:val="000000" w:themeColor="text1"/>
          <w14:textFill>
            <w14:solidFill>
              <w14:schemeClr w14:val="tx1"/>
            </w14:solidFill>
          </w14:textFill>
        </w:rPr>
        <w:t>月</w:t>
      </w:r>
    </w:p>
    <w:p>
      <w:pPr>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经费预算：1</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万以内</w:t>
      </w:r>
    </w:p>
    <w:p>
      <w:pPr>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研究</w:t>
      </w:r>
      <w:r>
        <w:rPr>
          <w:color w:val="000000" w:themeColor="text1"/>
          <w14:textFill>
            <w14:solidFill>
              <w14:schemeClr w14:val="tx1"/>
            </w14:solidFill>
          </w14:textFill>
        </w:rPr>
        <w:t>重点：</w:t>
      </w:r>
      <w:r>
        <w:rPr>
          <w:rFonts w:hint="eastAsia"/>
          <w:color w:val="000000" w:themeColor="text1"/>
          <w14:textFill>
            <w14:solidFill>
              <w14:schemeClr w14:val="tx1"/>
            </w14:solidFill>
          </w14:textFill>
        </w:rPr>
        <w:t>（1）从新要求、新功能、新路径、新格局四个层面，全面研究归纳虹桥从“综合交通枢纽”向“国际开放枢纽”转变的内涵要求；（2）抓牢“共建”内核，结合苏州发展实际和发展特点，分析总结在虹桥国际开放枢纽能级和辐射能级提升的契机下，苏州深化参与虹桥国际开放枢纽共建的基础条件、机遇与挑战；（3）立足现实，探索苏州融入虹桥国际开放枢纽和上海大都市圈建设的路径并提出对策建议。</w:t>
      </w:r>
    </w:p>
    <w:p>
      <w:pPr>
        <w:pStyle w:val="3"/>
        <w:ind w:firstLine="643"/>
        <w:rPr>
          <w:color w:val="000000" w:themeColor="text1"/>
          <w14:textFill>
            <w14:solidFill>
              <w14:schemeClr w14:val="tx1"/>
            </w14:solidFill>
          </w14:textFill>
        </w:rPr>
      </w:pPr>
      <w:r>
        <w:rPr>
          <w:color w:val="000000" w:themeColor="text1"/>
          <w14:textFill>
            <w14:solidFill>
              <w14:schemeClr w14:val="tx1"/>
            </w14:solidFill>
          </w14:textFill>
        </w:rPr>
        <w:t>8</w:t>
      </w:r>
      <w:r>
        <w:rPr>
          <w:rFonts w:hint="eastAsia"/>
          <w:color w:val="000000" w:themeColor="text1"/>
          <w14:textFill>
            <w14:solidFill>
              <w14:schemeClr w14:val="tx1"/>
            </w14:solidFill>
          </w14:textFill>
        </w:rPr>
        <w:t>.苏州产业碳足迹管理提升的路径研究</w:t>
      </w:r>
    </w:p>
    <w:p>
      <w:pPr>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完成时间：2</w:t>
      </w:r>
      <w:r>
        <w:rPr>
          <w:color w:val="000000" w:themeColor="text1"/>
          <w14:textFill>
            <w14:solidFill>
              <w14:schemeClr w14:val="tx1"/>
            </w14:solidFill>
          </w14:textFill>
        </w:rPr>
        <w:t>02</w:t>
      </w:r>
      <w:r>
        <w:rPr>
          <w:rFonts w:hint="eastAsia"/>
          <w:color w:val="000000" w:themeColor="text1"/>
          <w14:textFill>
            <w14:solidFill>
              <w14:schemeClr w14:val="tx1"/>
            </w14:solidFill>
          </w14:textFill>
        </w:rPr>
        <w:t>4年</w:t>
      </w:r>
      <w:r>
        <w:rPr>
          <w:color w:val="000000" w:themeColor="text1"/>
          <w14:textFill>
            <w14:solidFill>
              <w14:schemeClr w14:val="tx1"/>
            </w14:solidFill>
          </w14:textFill>
        </w:rPr>
        <w:t>10</w:t>
      </w:r>
      <w:r>
        <w:rPr>
          <w:rFonts w:hint="eastAsia"/>
          <w:color w:val="000000" w:themeColor="text1"/>
          <w14:textFill>
            <w14:solidFill>
              <w14:schemeClr w14:val="tx1"/>
            </w14:solidFill>
          </w14:textFill>
        </w:rPr>
        <w:t>月</w:t>
      </w:r>
    </w:p>
    <w:p>
      <w:pPr>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经费预算：28万以内</w:t>
      </w:r>
    </w:p>
    <w:p>
      <w:pPr>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研究</w:t>
      </w:r>
      <w:r>
        <w:rPr>
          <w:color w:val="000000" w:themeColor="text1"/>
          <w14:textFill>
            <w14:solidFill>
              <w14:schemeClr w14:val="tx1"/>
            </w14:solidFill>
          </w14:textFill>
        </w:rPr>
        <w:t>重点</w:t>
      </w:r>
      <w:r>
        <w:rPr>
          <w:rFonts w:hint="eastAsia"/>
          <w:color w:val="000000" w:themeColor="text1"/>
          <w14:textFill>
            <w14:solidFill>
              <w14:schemeClr w14:val="tx1"/>
            </w14:solidFill>
          </w14:textFill>
        </w:rPr>
        <w:t>：（1）研究并提出碳足迹核算与追踪的有效举措，为推动碳足迹进入可信时代、助力产业低碳绿色高质量发展、实现碳达峰碳中和目标提供有力支撑；（2）探索提出碳足迹量化认证工作的实施思路，为碳减排提供科学依据，从促进绿色消费、提升外贸产品竞争力等角度，推动绿色低碳发展；（3）研究并提出苏州碳足迹管理推广方向和有效路径，发挥碳足迹管理对企业绿色低碳转型的促进作用，强化节能降碳管理，挖掘节能降碳潜力。</w:t>
      </w:r>
    </w:p>
    <w:p>
      <w:pPr>
        <w:pStyle w:val="3"/>
        <w:ind w:firstLine="643"/>
        <w:rPr>
          <w:color w:val="000000" w:themeColor="text1"/>
          <w14:textFill>
            <w14:solidFill>
              <w14:schemeClr w14:val="tx1"/>
            </w14:solidFill>
          </w14:textFill>
        </w:rPr>
      </w:pPr>
      <w:r>
        <w:rPr>
          <w:color w:val="000000" w:themeColor="text1"/>
          <w14:textFill>
            <w14:solidFill>
              <w14:schemeClr w14:val="tx1"/>
            </w14:solidFill>
          </w14:textFill>
        </w:rPr>
        <w:t>9</w:t>
      </w:r>
      <w:r>
        <w:rPr>
          <w:rFonts w:hint="eastAsia"/>
          <w:color w:val="000000" w:themeColor="text1"/>
          <w14:textFill>
            <w14:solidFill>
              <w14:schemeClr w14:val="tx1"/>
            </w14:solidFill>
          </w14:textFill>
        </w:rPr>
        <w:t>.苏州经济高质量发展新动能研究</w:t>
      </w:r>
    </w:p>
    <w:p>
      <w:pPr>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完成时间：2</w:t>
      </w:r>
      <w:r>
        <w:rPr>
          <w:color w:val="000000" w:themeColor="text1"/>
          <w14:textFill>
            <w14:solidFill>
              <w14:schemeClr w14:val="tx1"/>
            </w14:solidFill>
          </w14:textFill>
        </w:rPr>
        <w:t>02</w:t>
      </w:r>
      <w:r>
        <w:rPr>
          <w:rFonts w:hint="eastAsia"/>
          <w:color w:val="000000" w:themeColor="text1"/>
          <w14:textFill>
            <w14:solidFill>
              <w14:schemeClr w14:val="tx1"/>
            </w14:solidFill>
          </w14:textFill>
        </w:rPr>
        <w:t>4年11月</w:t>
      </w:r>
    </w:p>
    <w:p>
      <w:pPr>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经费预算：20万以内</w:t>
      </w:r>
    </w:p>
    <w:p>
      <w:pPr>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研究</w:t>
      </w:r>
      <w:r>
        <w:rPr>
          <w:color w:val="000000" w:themeColor="text1"/>
          <w14:textFill>
            <w14:solidFill>
              <w14:schemeClr w14:val="tx1"/>
            </w14:solidFill>
          </w14:textFill>
        </w:rPr>
        <w:t>重点：</w:t>
      </w:r>
      <w:r>
        <w:rPr>
          <w:rFonts w:hint="eastAsia"/>
          <w:color w:val="000000" w:themeColor="text1"/>
          <w14:textFill>
            <w14:solidFill>
              <w14:schemeClr w14:val="tx1"/>
            </w14:solidFill>
          </w14:textFill>
        </w:rPr>
        <w:t>（1）全面梳理苏州近年来新旧动能转换现状，总结经验亮点，分析问题不足；（2）结合苏州经济发展新时期新阶段特征，供给角度从产业升级、要素配置、能源变革</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科技创新等分析新动能培育重点，需求角度从扩大内需、消费升级、优化双循环等分析新动能培育重点；（3）结合国内外已有经验借鉴，突出苏州特色，探索苏州经济高质量发展新动能路径与对策。</w:t>
      </w:r>
    </w:p>
    <w:p>
      <w:pPr>
        <w:pStyle w:val="3"/>
        <w:ind w:firstLine="643"/>
      </w:pPr>
      <w:r>
        <w:t>10.</w:t>
      </w:r>
      <w:r>
        <w:rPr>
          <w:rFonts w:hint="eastAsia"/>
        </w:rPr>
        <w:t>苏州共建“一带一路”未来十年发展路径和举措</w:t>
      </w:r>
    </w:p>
    <w:p>
      <w:pPr>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完成时间：2</w:t>
      </w:r>
      <w:r>
        <w:rPr>
          <w:color w:val="000000" w:themeColor="text1"/>
          <w14:textFill>
            <w14:solidFill>
              <w14:schemeClr w14:val="tx1"/>
            </w14:solidFill>
          </w14:textFill>
        </w:rPr>
        <w:t>02</w:t>
      </w:r>
      <w:r>
        <w:rPr>
          <w:rFonts w:hint="eastAsia"/>
          <w:color w:val="000000" w:themeColor="text1"/>
          <w14:textFill>
            <w14:solidFill>
              <w14:schemeClr w14:val="tx1"/>
            </w14:solidFill>
          </w14:textFill>
        </w:rPr>
        <w:t>4年11月</w:t>
      </w:r>
    </w:p>
    <w:p>
      <w:pPr>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经费预算：</w:t>
      </w:r>
      <w:r>
        <w:rPr>
          <w:color w:val="000000" w:themeColor="text1"/>
          <w14:textFill>
            <w14:solidFill>
              <w14:schemeClr w14:val="tx1"/>
            </w14:solidFill>
          </w14:textFill>
        </w:rPr>
        <w:t>18</w:t>
      </w:r>
      <w:r>
        <w:rPr>
          <w:rFonts w:hint="eastAsia"/>
          <w:color w:val="000000" w:themeColor="text1"/>
          <w14:textFill>
            <w14:solidFill>
              <w14:schemeClr w14:val="tx1"/>
            </w14:solidFill>
          </w14:textFill>
        </w:rPr>
        <w:t>万以内</w:t>
      </w:r>
    </w:p>
    <w:p>
      <w:pPr>
        <w:ind w:firstLine="640"/>
      </w:pPr>
      <w:r>
        <w:rPr>
          <w:rFonts w:hint="eastAsia"/>
          <w:color w:val="000000" w:themeColor="text1"/>
          <w14:textFill>
            <w14:solidFill>
              <w14:schemeClr w14:val="tx1"/>
            </w14:solidFill>
          </w14:textFill>
        </w:rPr>
        <w:t>研究</w:t>
      </w:r>
      <w:r>
        <w:rPr>
          <w:color w:val="000000" w:themeColor="text1"/>
          <w14:textFill>
            <w14:solidFill>
              <w14:schemeClr w14:val="tx1"/>
            </w14:solidFill>
          </w14:textFill>
        </w:rPr>
        <w:t>重点：</w:t>
      </w:r>
      <w:r>
        <w:rPr>
          <w:rFonts w:hint="eastAsia"/>
          <w:color w:val="000000" w:themeColor="text1"/>
          <w14:textFill>
            <w14:solidFill>
              <w14:schemeClr w14:val="tx1"/>
            </w14:solidFill>
          </w14:textFill>
        </w:rPr>
        <w:t>（1）</w:t>
      </w:r>
      <w:r>
        <w:rPr>
          <w:rFonts w:hint="eastAsia"/>
        </w:rPr>
        <w:t>梳理苏州当前高水平对外开放以及参与共建“一带一路”的基本情况；</w:t>
      </w:r>
      <w:r>
        <w:t>（</w:t>
      </w:r>
      <w:r>
        <w:rPr>
          <w:rFonts w:hint="eastAsia"/>
        </w:rPr>
        <w:t>2</w:t>
      </w:r>
      <w:r>
        <w:t>）</w:t>
      </w:r>
      <w:r>
        <w:rPr>
          <w:rFonts w:hint="eastAsia"/>
        </w:rPr>
        <w:t>分析百年未有之大变局的背景下，苏州加快推进共建“一带一路”面临的新机遇、新挑战；（3）基于苏州参与构建新发展格局及经济高质量发展的要求，提出苏州共建“一带一路”未来十年发展的基本思路；（4）从提升利用合作共建平台、巩固与共建国家的产业链供应链网络、深化与共建国家贸易和投资务实合作、探索深化制度型开放等角度研究提出重点任务和具体举措。</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0" w:usb1="00000000" w:usb2="00000000" w:usb3="00000000" w:csb0="00000000" w:csb1="00000000"/>
  </w:font>
  <w:font w:name="Calibri Light">
    <w:panose1 w:val="020F03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8208453"/>
      <w:docPartObj>
        <w:docPartGallery w:val="autotext"/>
      </w:docPartObj>
    </w:sdtPr>
    <w:sdtContent>
      <w:p>
        <w:pPr>
          <w:pStyle w:val="15"/>
          <w:ind w:firstLine="420"/>
          <w:jc w:val="center"/>
        </w:pPr>
        <w:r>
          <w:fldChar w:fldCharType="begin"/>
        </w:r>
        <w:r>
          <w:instrText xml:space="preserve">PAGE   \* MERGEFORMAT</w:instrText>
        </w:r>
        <w:r>
          <w:fldChar w:fldCharType="separate"/>
        </w:r>
        <w:r>
          <w:rPr>
            <w:lang w:val="zh-CN"/>
          </w:rPr>
          <w:t>5</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4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ZlOTFkZjg4YzhjNjkwMGJjOWZlZWNhMTYwOGQxY2YifQ=="/>
  </w:docVars>
  <w:rsids>
    <w:rsidRoot w:val="008B4FDE"/>
    <w:rsid w:val="00072EB0"/>
    <w:rsid w:val="000B6242"/>
    <w:rsid w:val="000E6E63"/>
    <w:rsid w:val="00242A95"/>
    <w:rsid w:val="002C7669"/>
    <w:rsid w:val="00310047"/>
    <w:rsid w:val="00316443"/>
    <w:rsid w:val="00332E62"/>
    <w:rsid w:val="00386FE6"/>
    <w:rsid w:val="003E6AA7"/>
    <w:rsid w:val="00474EC9"/>
    <w:rsid w:val="005814B3"/>
    <w:rsid w:val="005D15A2"/>
    <w:rsid w:val="005F101A"/>
    <w:rsid w:val="00626A70"/>
    <w:rsid w:val="00657B7A"/>
    <w:rsid w:val="006C6D8B"/>
    <w:rsid w:val="00704F57"/>
    <w:rsid w:val="00754F86"/>
    <w:rsid w:val="007E323F"/>
    <w:rsid w:val="00886440"/>
    <w:rsid w:val="008A3191"/>
    <w:rsid w:val="008A5D88"/>
    <w:rsid w:val="008B30F9"/>
    <w:rsid w:val="008B3CFD"/>
    <w:rsid w:val="008B4FDE"/>
    <w:rsid w:val="008E40AC"/>
    <w:rsid w:val="0094042E"/>
    <w:rsid w:val="00962BC1"/>
    <w:rsid w:val="009A6EDF"/>
    <w:rsid w:val="009B7047"/>
    <w:rsid w:val="00A04642"/>
    <w:rsid w:val="00A1568A"/>
    <w:rsid w:val="00A31A51"/>
    <w:rsid w:val="00B43DA8"/>
    <w:rsid w:val="00B922CA"/>
    <w:rsid w:val="00BC6015"/>
    <w:rsid w:val="00C87F79"/>
    <w:rsid w:val="00CD0187"/>
    <w:rsid w:val="00D00D07"/>
    <w:rsid w:val="00ED6D85"/>
    <w:rsid w:val="00F37429"/>
    <w:rsid w:val="00F65806"/>
    <w:rsid w:val="00FD0096"/>
    <w:rsid w:val="00FE7352"/>
    <w:rsid w:val="18B71276"/>
    <w:rsid w:val="1E2D1660"/>
    <w:rsid w:val="1FF468DA"/>
    <w:rsid w:val="20FF72E4"/>
    <w:rsid w:val="2A353B5D"/>
    <w:rsid w:val="2FE029D7"/>
    <w:rsid w:val="374101FF"/>
    <w:rsid w:val="3DD26D7D"/>
    <w:rsid w:val="4F161B19"/>
    <w:rsid w:val="514E7348"/>
    <w:rsid w:val="53C90F08"/>
    <w:rsid w:val="550A5C7C"/>
    <w:rsid w:val="5E532442"/>
    <w:rsid w:val="60363DC9"/>
    <w:rsid w:val="617C1CB0"/>
    <w:rsid w:val="61BF25CD"/>
    <w:rsid w:val="66012783"/>
    <w:rsid w:val="67705E13"/>
    <w:rsid w:val="6C661592"/>
    <w:rsid w:val="73D00F12"/>
    <w:rsid w:val="75161C76"/>
    <w:rsid w:val="76A333E3"/>
    <w:rsid w:val="787D0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79"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styleId="2">
    <w:name w:val="heading 1"/>
    <w:basedOn w:val="1"/>
    <w:next w:val="1"/>
    <w:link w:val="26"/>
    <w:qFormat/>
    <w:uiPriority w:val="9"/>
    <w:pPr>
      <w:widowControl/>
      <w:jc w:val="left"/>
      <w:outlineLvl w:val="0"/>
    </w:pPr>
    <w:rPr>
      <w:rFonts w:eastAsia="黑体" w:cs="宋体"/>
      <w:bCs/>
      <w:kern w:val="36"/>
      <w:szCs w:val="48"/>
    </w:rPr>
  </w:style>
  <w:style w:type="paragraph" w:styleId="3">
    <w:name w:val="heading 2"/>
    <w:basedOn w:val="1"/>
    <w:next w:val="1"/>
    <w:link w:val="29"/>
    <w:unhideWhenUsed/>
    <w:qFormat/>
    <w:uiPriority w:val="9"/>
    <w:pPr>
      <w:keepNext/>
      <w:keepLines/>
      <w:outlineLvl w:val="1"/>
    </w:pPr>
    <w:rPr>
      <w:rFonts w:eastAsia="楷体_GB2312" w:cs="楷体_GB2312"/>
      <w:b/>
      <w:bCs/>
      <w:szCs w:val="32"/>
    </w:rPr>
  </w:style>
  <w:style w:type="paragraph" w:styleId="4">
    <w:name w:val="heading 3"/>
    <w:basedOn w:val="1"/>
    <w:next w:val="1"/>
    <w:link w:val="32"/>
    <w:semiHidden/>
    <w:unhideWhenUsed/>
    <w:qFormat/>
    <w:uiPriority w:val="9"/>
    <w:pPr>
      <w:keepNext/>
      <w:keepLines/>
      <w:outlineLvl w:val="2"/>
    </w:pPr>
    <w:rPr>
      <w:b/>
      <w:bCs/>
      <w:szCs w:val="32"/>
    </w:rPr>
  </w:style>
  <w:style w:type="paragraph" w:styleId="5">
    <w:name w:val="heading 4"/>
    <w:next w:val="1"/>
    <w:link w:val="33"/>
    <w:semiHidden/>
    <w:unhideWhenUsed/>
    <w:qFormat/>
    <w:uiPriority w:val="9"/>
    <w:pPr>
      <w:keepNext/>
      <w:keepLines/>
      <w:widowControl w:val="0"/>
      <w:spacing w:before="280" w:after="290" w:line="376" w:lineRule="atLeast"/>
      <w:ind w:firstLine="200" w:firstLineChars="200"/>
      <w:jc w:val="both"/>
      <w:outlineLvl w:val="3"/>
    </w:pPr>
    <w:rPr>
      <w:rFonts w:asciiTheme="majorHAnsi" w:hAnsiTheme="majorHAnsi" w:eastAsiaTheme="majorEastAsia" w:cstheme="majorBidi"/>
      <w:b/>
      <w:bCs/>
      <w:kern w:val="2"/>
      <w:sz w:val="28"/>
      <w:szCs w:val="28"/>
      <w:lang w:val="en-US" w:eastAsia="zh-CN" w:bidi="ar-SA"/>
    </w:rPr>
  </w:style>
  <w:style w:type="paragraph" w:styleId="6">
    <w:name w:val="heading 5"/>
    <w:basedOn w:val="1"/>
    <w:next w:val="1"/>
    <w:link w:val="34"/>
    <w:semiHidden/>
    <w:unhideWhenUsed/>
    <w:qFormat/>
    <w:uiPriority w:val="9"/>
    <w:pPr>
      <w:keepNext/>
      <w:keepLines/>
      <w:spacing w:before="280" w:after="290" w:line="376" w:lineRule="atLeast"/>
      <w:outlineLvl w:val="4"/>
    </w:pPr>
    <w:rPr>
      <w:b/>
      <w:bCs/>
      <w:sz w:val="28"/>
      <w:szCs w:val="28"/>
    </w:rPr>
  </w:style>
  <w:style w:type="paragraph" w:styleId="7">
    <w:name w:val="heading 6"/>
    <w:basedOn w:val="1"/>
    <w:next w:val="1"/>
    <w:link w:val="35"/>
    <w:semiHidden/>
    <w:unhideWhenUsed/>
    <w:qFormat/>
    <w:uiPriority w:val="9"/>
    <w:pPr>
      <w:keepNext/>
      <w:keepLines/>
      <w:spacing w:before="240" w:after="64" w:line="320" w:lineRule="atLeast"/>
      <w:outlineLvl w:val="5"/>
    </w:pPr>
    <w:rPr>
      <w:rFonts w:asciiTheme="majorHAnsi" w:hAnsiTheme="majorHAnsi" w:eastAsiaTheme="majorEastAsia" w:cstheme="majorBidi"/>
      <w:b/>
      <w:bCs/>
      <w:sz w:val="24"/>
      <w:szCs w:val="24"/>
    </w:rPr>
  </w:style>
  <w:style w:type="paragraph" w:styleId="8">
    <w:name w:val="heading 7"/>
    <w:basedOn w:val="1"/>
    <w:next w:val="1"/>
    <w:link w:val="36"/>
    <w:semiHidden/>
    <w:unhideWhenUsed/>
    <w:qFormat/>
    <w:uiPriority w:val="9"/>
    <w:pPr>
      <w:keepNext/>
      <w:keepLines/>
      <w:spacing w:before="240" w:after="64" w:line="320" w:lineRule="atLeast"/>
      <w:outlineLvl w:val="6"/>
    </w:pPr>
    <w:rPr>
      <w:b/>
      <w:bCs/>
      <w:sz w:val="24"/>
      <w:szCs w:val="24"/>
    </w:rPr>
  </w:style>
  <w:style w:type="paragraph" w:styleId="9">
    <w:name w:val="heading 8"/>
    <w:basedOn w:val="1"/>
    <w:next w:val="1"/>
    <w:link w:val="37"/>
    <w:semiHidden/>
    <w:unhideWhenUsed/>
    <w:qFormat/>
    <w:uiPriority w:val="9"/>
    <w:pPr>
      <w:keepNext/>
      <w:keepLines/>
      <w:spacing w:before="240" w:after="64" w:line="320" w:lineRule="atLeast"/>
      <w:outlineLvl w:val="7"/>
    </w:pPr>
    <w:rPr>
      <w:rFonts w:asciiTheme="majorHAnsi" w:hAnsiTheme="majorHAnsi" w:eastAsiaTheme="majorEastAsia" w:cstheme="majorBidi"/>
      <w:sz w:val="24"/>
      <w:szCs w:val="24"/>
    </w:rPr>
  </w:style>
  <w:style w:type="paragraph" w:styleId="10">
    <w:name w:val="heading 9"/>
    <w:basedOn w:val="1"/>
    <w:next w:val="1"/>
    <w:link w:val="38"/>
    <w:semiHidden/>
    <w:unhideWhenUsed/>
    <w:qFormat/>
    <w:uiPriority w:val="9"/>
    <w:pPr>
      <w:keepNext/>
      <w:keepLines/>
      <w:spacing w:before="240" w:after="64" w:line="320" w:lineRule="atLeast"/>
      <w:outlineLvl w:val="8"/>
    </w:pPr>
    <w:rPr>
      <w:rFonts w:asciiTheme="majorHAnsi" w:hAnsiTheme="majorHAnsi" w:eastAsiaTheme="majorEastAsia" w:cstheme="majorBidi"/>
      <w:sz w:val="21"/>
      <w:szCs w:val="21"/>
    </w:rPr>
  </w:style>
  <w:style w:type="character" w:default="1" w:styleId="22">
    <w:name w:val="Default Paragraph Font"/>
    <w:semiHidden/>
    <w:unhideWhenUsed/>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rPr>
      <w:rFonts w:eastAsia="黑体" w:asciiTheme="majorHAnsi" w:hAnsiTheme="majorHAnsi" w:cstheme="majorBidi"/>
      <w:sz w:val="20"/>
      <w:szCs w:val="20"/>
    </w:rPr>
  </w:style>
  <w:style w:type="paragraph" w:styleId="12">
    <w:name w:val="index 6"/>
    <w:basedOn w:val="1"/>
    <w:next w:val="1"/>
    <w:semiHidden/>
    <w:unhideWhenUsed/>
    <w:qFormat/>
    <w:uiPriority w:val="99"/>
    <w:pPr>
      <w:ind w:left="1000" w:leftChars="1000" w:firstLine="0"/>
    </w:pPr>
  </w:style>
  <w:style w:type="paragraph" w:styleId="13">
    <w:name w:val="Body Text"/>
    <w:basedOn w:val="1"/>
    <w:next w:val="12"/>
    <w:link w:val="39"/>
    <w:qFormat/>
    <w:uiPriority w:val="99"/>
    <w:pPr>
      <w:jc w:val="center"/>
    </w:pPr>
    <w:rPr>
      <w:rFonts w:ascii="Calibri" w:hAnsi="Calibri"/>
    </w:rPr>
  </w:style>
  <w:style w:type="paragraph" w:styleId="14">
    <w:name w:val="toc 3"/>
    <w:basedOn w:val="1"/>
    <w:next w:val="1"/>
    <w:qFormat/>
    <w:uiPriority w:val="39"/>
    <w:pPr>
      <w:ind w:left="840" w:leftChars="400"/>
    </w:pPr>
    <w:rPr>
      <w:rFonts w:eastAsia="黑体"/>
      <w:sz w:val="21"/>
    </w:rPr>
  </w:style>
  <w:style w:type="paragraph" w:styleId="15">
    <w:name w:val="footer"/>
    <w:basedOn w:val="1"/>
    <w:link w:val="40"/>
    <w:unhideWhenUsed/>
    <w:qFormat/>
    <w:uiPriority w:val="99"/>
    <w:pPr>
      <w:tabs>
        <w:tab w:val="center" w:pos="4153"/>
        <w:tab w:val="right" w:pos="8306"/>
      </w:tabs>
      <w:snapToGrid w:val="0"/>
      <w:ind w:firstLine="150" w:firstLineChars="150"/>
      <w:jc w:val="left"/>
    </w:pPr>
    <w:rPr>
      <w:rFonts w:ascii="宋体" w:hAnsi="宋体" w:eastAsia="宋体"/>
      <w:sz w:val="28"/>
      <w:szCs w:val="18"/>
    </w:rPr>
  </w:style>
  <w:style w:type="paragraph" w:styleId="16">
    <w:name w:val="header"/>
    <w:basedOn w:val="1"/>
    <w:link w:val="46"/>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7">
    <w:name w:val="toc 1"/>
    <w:basedOn w:val="1"/>
    <w:next w:val="1"/>
    <w:qFormat/>
    <w:uiPriority w:val="39"/>
    <w:rPr>
      <w:rFonts w:eastAsia="黑体"/>
      <w:sz w:val="21"/>
    </w:rPr>
  </w:style>
  <w:style w:type="paragraph" w:styleId="18">
    <w:name w:val="Subtitle"/>
    <w:basedOn w:val="1"/>
    <w:next w:val="1"/>
    <w:link w:val="41"/>
    <w:qFormat/>
    <w:uiPriority w:val="11"/>
    <w:pPr>
      <w:ind w:firstLine="0" w:firstLineChars="0"/>
      <w:jc w:val="center"/>
      <w:outlineLvl w:val="1"/>
    </w:pPr>
    <w:rPr>
      <w:rFonts w:eastAsia="楷体_GB2312"/>
      <w:bCs/>
      <w:kern w:val="28"/>
      <w:szCs w:val="32"/>
    </w:rPr>
  </w:style>
  <w:style w:type="paragraph" w:styleId="19">
    <w:name w:val="toc 2"/>
    <w:basedOn w:val="1"/>
    <w:next w:val="1"/>
    <w:qFormat/>
    <w:uiPriority w:val="39"/>
    <w:pPr>
      <w:ind w:left="420" w:leftChars="200"/>
    </w:pPr>
    <w:rPr>
      <w:rFonts w:eastAsia="黑体"/>
      <w:sz w:val="21"/>
    </w:rPr>
  </w:style>
  <w:style w:type="paragraph" w:styleId="20">
    <w:name w:val="Title"/>
    <w:basedOn w:val="1"/>
    <w:next w:val="1"/>
    <w:link w:val="27"/>
    <w:qFormat/>
    <w:uiPriority w:val="10"/>
    <w:pPr>
      <w:spacing w:line="640" w:lineRule="exact"/>
      <w:ind w:firstLine="0" w:firstLineChars="0"/>
      <w:jc w:val="center"/>
      <w:outlineLvl w:val="0"/>
    </w:pPr>
    <w:rPr>
      <w:rFonts w:eastAsia="方正小标宋_GBK" w:cstheme="minorBidi"/>
      <w:bCs/>
      <w:sz w:val="44"/>
      <w:szCs w:val="32"/>
    </w:rPr>
  </w:style>
  <w:style w:type="character" w:styleId="23">
    <w:name w:val="Strong"/>
    <w:qFormat/>
    <w:uiPriority w:val="22"/>
    <w:rPr>
      <w:b/>
      <w:bCs/>
    </w:rPr>
  </w:style>
  <w:style w:type="character" w:styleId="24">
    <w:name w:val="page number"/>
    <w:qFormat/>
    <w:uiPriority w:val="0"/>
    <w:rPr>
      <w:rFonts w:ascii="Verdana" w:hAnsi="Verdana" w:eastAsia="仿宋_GB2312"/>
      <w:kern w:val="0"/>
      <w:sz w:val="24"/>
      <w:szCs w:val="32"/>
      <w:lang w:eastAsia="en-US"/>
    </w:rPr>
  </w:style>
  <w:style w:type="character" w:styleId="25">
    <w:name w:val="Emphasis"/>
    <w:qFormat/>
    <w:uiPriority w:val="20"/>
    <w:rPr>
      <w:i/>
      <w:iCs/>
    </w:rPr>
  </w:style>
  <w:style w:type="character" w:customStyle="1" w:styleId="26">
    <w:name w:val="标题 1 Char"/>
    <w:link w:val="2"/>
    <w:qFormat/>
    <w:uiPriority w:val="9"/>
    <w:rPr>
      <w:rFonts w:ascii="Times New Roman" w:hAnsi="Times New Roman" w:eastAsia="黑体" w:cs="宋体"/>
      <w:bCs/>
      <w:kern w:val="36"/>
      <w:sz w:val="32"/>
      <w:szCs w:val="48"/>
    </w:rPr>
  </w:style>
  <w:style w:type="character" w:customStyle="1" w:styleId="27">
    <w:name w:val="标题 Char"/>
    <w:link w:val="20"/>
    <w:qFormat/>
    <w:uiPriority w:val="10"/>
    <w:rPr>
      <w:rFonts w:ascii="Times New Roman" w:hAnsi="Times New Roman" w:eastAsia="方正小标宋_GBK" w:cstheme="minorBidi"/>
      <w:bCs/>
      <w:kern w:val="2"/>
      <w:sz w:val="44"/>
      <w:szCs w:val="32"/>
    </w:rPr>
  </w:style>
  <w:style w:type="paragraph" w:styleId="28">
    <w:name w:val="No Spacing"/>
    <w:qFormat/>
    <w:uiPriority w:val="1"/>
    <w:pPr>
      <w:widowControl w:val="0"/>
      <w:adjustRightInd w:val="0"/>
      <w:snapToGrid w:val="0"/>
      <w:spacing w:before="25" w:beforeLines="25" w:after="25" w:afterLines="25"/>
      <w:jc w:val="center"/>
    </w:pPr>
    <w:rPr>
      <w:rFonts w:ascii="Times New Roman" w:hAnsi="Times New Roman" w:eastAsia="方正小标宋简体" w:cs="Times New Roman"/>
      <w:kern w:val="2"/>
      <w:sz w:val="24"/>
      <w:szCs w:val="22"/>
      <w:lang w:val="en-US" w:eastAsia="zh-CN" w:bidi="ar-SA"/>
    </w:rPr>
  </w:style>
  <w:style w:type="character" w:customStyle="1" w:styleId="29">
    <w:name w:val="标题 2 Char"/>
    <w:link w:val="3"/>
    <w:qFormat/>
    <w:uiPriority w:val="9"/>
    <w:rPr>
      <w:rFonts w:ascii="Times New Roman" w:hAnsi="Times New Roman" w:eastAsia="楷体_GB2312" w:cs="楷体_GB2312"/>
      <w:b/>
      <w:bCs/>
      <w:kern w:val="2"/>
      <w:sz w:val="32"/>
      <w:szCs w:val="32"/>
    </w:rPr>
  </w:style>
  <w:style w:type="paragraph" w:customStyle="1" w:styleId="30">
    <w:name w:val="txt"/>
    <w:basedOn w:val="1"/>
    <w:qFormat/>
    <w:uiPriority w:val="0"/>
    <w:pPr>
      <w:autoSpaceDE w:val="0"/>
      <w:spacing w:line="400" w:lineRule="exact"/>
      <w:ind w:firstLine="420"/>
      <w:jc w:val="center"/>
    </w:pPr>
    <w:rPr>
      <w:rFonts w:ascii="黑体" w:hAnsi="黑体" w:eastAsia="黑体" w:cs="黑体"/>
      <w:sz w:val="21"/>
      <w:szCs w:val="21"/>
    </w:rPr>
  </w:style>
  <w:style w:type="paragraph" w:customStyle="1" w:styleId="31">
    <w:name w:val="仿宋正文"/>
    <w:basedOn w:val="1"/>
    <w:qFormat/>
    <w:uiPriority w:val="0"/>
    <w:pPr>
      <w:spacing w:line="560" w:lineRule="exact"/>
      <w:ind w:firstLine="640"/>
    </w:pPr>
    <w:rPr>
      <w:rFonts w:ascii="仿宋_GB2312" w:cs="宋体"/>
      <w:szCs w:val="28"/>
    </w:rPr>
  </w:style>
  <w:style w:type="character" w:customStyle="1" w:styleId="32">
    <w:name w:val="标题 3 Char"/>
    <w:link w:val="4"/>
    <w:semiHidden/>
    <w:qFormat/>
    <w:uiPriority w:val="9"/>
    <w:rPr>
      <w:rFonts w:ascii="Times New Roman" w:hAnsi="Times New Roman" w:eastAsia="仿宋_GB2312"/>
      <w:b/>
      <w:bCs/>
      <w:kern w:val="2"/>
      <w:sz w:val="32"/>
      <w:szCs w:val="32"/>
    </w:rPr>
  </w:style>
  <w:style w:type="character" w:customStyle="1" w:styleId="33">
    <w:name w:val="标题 4 Char"/>
    <w:basedOn w:val="22"/>
    <w:link w:val="5"/>
    <w:semiHidden/>
    <w:qFormat/>
    <w:uiPriority w:val="9"/>
    <w:rPr>
      <w:rFonts w:asciiTheme="majorHAnsi" w:hAnsiTheme="majorHAnsi" w:eastAsiaTheme="majorEastAsia" w:cstheme="majorBidi"/>
      <w:b/>
      <w:bCs/>
      <w:kern w:val="2"/>
      <w:sz w:val="28"/>
      <w:szCs w:val="28"/>
    </w:rPr>
  </w:style>
  <w:style w:type="character" w:customStyle="1" w:styleId="34">
    <w:name w:val="标题 5 Char"/>
    <w:basedOn w:val="22"/>
    <w:link w:val="6"/>
    <w:semiHidden/>
    <w:qFormat/>
    <w:uiPriority w:val="9"/>
    <w:rPr>
      <w:rFonts w:ascii="Times New Roman" w:hAnsi="Times New Roman" w:eastAsia="仿宋_GB2312"/>
      <w:b/>
      <w:bCs/>
      <w:kern w:val="2"/>
      <w:sz w:val="28"/>
      <w:szCs w:val="28"/>
    </w:rPr>
  </w:style>
  <w:style w:type="character" w:customStyle="1" w:styleId="35">
    <w:name w:val="标题 6 Char"/>
    <w:basedOn w:val="22"/>
    <w:link w:val="7"/>
    <w:semiHidden/>
    <w:qFormat/>
    <w:uiPriority w:val="9"/>
    <w:rPr>
      <w:rFonts w:asciiTheme="majorHAnsi" w:hAnsiTheme="majorHAnsi" w:eastAsiaTheme="majorEastAsia" w:cstheme="majorBidi"/>
      <w:b/>
      <w:bCs/>
      <w:kern w:val="2"/>
      <w:sz w:val="24"/>
      <w:szCs w:val="24"/>
    </w:rPr>
  </w:style>
  <w:style w:type="character" w:customStyle="1" w:styleId="36">
    <w:name w:val="标题 7 Char"/>
    <w:basedOn w:val="22"/>
    <w:link w:val="8"/>
    <w:semiHidden/>
    <w:qFormat/>
    <w:uiPriority w:val="9"/>
    <w:rPr>
      <w:rFonts w:ascii="Times New Roman" w:hAnsi="Times New Roman" w:eastAsia="仿宋_GB2312"/>
      <w:b/>
      <w:bCs/>
      <w:kern w:val="2"/>
      <w:sz w:val="24"/>
      <w:szCs w:val="24"/>
    </w:rPr>
  </w:style>
  <w:style w:type="character" w:customStyle="1" w:styleId="37">
    <w:name w:val="标题 8 Char"/>
    <w:basedOn w:val="22"/>
    <w:link w:val="9"/>
    <w:semiHidden/>
    <w:qFormat/>
    <w:uiPriority w:val="9"/>
    <w:rPr>
      <w:rFonts w:asciiTheme="majorHAnsi" w:hAnsiTheme="majorHAnsi" w:eastAsiaTheme="majorEastAsia" w:cstheme="majorBidi"/>
      <w:kern w:val="2"/>
      <w:sz w:val="24"/>
      <w:szCs w:val="24"/>
    </w:rPr>
  </w:style>
  <w:style w:type="character" w:customStyle="1" w:styleId="38">
    <w:name w:val="标题 9 Char"/>
    <w:basedOn w:val="22"/>
    <w:link w:val="10"/>
    <w:semiHidden/>
    <w:qFormat/>
    <w:uiPriority w:val="9"/>
    <w:rPr>
      <w:rFonts w:asciiTheme="majorHAnsi" w:hAnsiTheme="majorHAnsi" w:eastAsiaTheme="majorEastAsia" w:cstheme="majorBidi"/>
      <w:kern w:val="2"/>
      <w:sz w:val="21"/>
      <w:szCs w:val="21"/>
    </w:rPr>
  </w:style>
  <w:style w:type="character" w:customStyle="1" w:styleId="39">
    <w:name w:val="正文文本 Char"/>
    <w:basedOn w:val="22"/>
    <w:link w:val="13"/>
    <w:qFormat/>
    <w:uiPriority w:val="99"/>
    <w:rPr>
      <w:rFonts w:ascii="Calibri" w:hAnsi="Calibri" w:eastAsia="仿宋_GB2312"/>
      <w:sz w:val="24"/>
    </w:rPr>
  </w:style>
  <w:style w:type="character" w:customStyle="1" w:styleId="40">
    <w:name w:val="页脚 Char"/>
    <w:link w:val="15"/>
    <w:qFormat/>
    <w:uiPriority w:val="99"/>
    <w:rPr>
      <w:rFonts w:ascii="宋体" w:hAnsi="宋体"/>
      <w:kern w:val="2"/>
      <w:sz w:val="28"/>
      <w:szCs w:val="18"/>
    </w:rPr>
  </w:style>
  <w:style w:type="character" w:customStyle="1" w:styleId="41">
    <w:name w:val="副标题 Char"/>
    <w:link w:val="18"/>
    <w:qFormat/>
    <w:uiPriority w:val="11"/>
    <w:rPr>
      <w:rFonts w:ascii="Times New Roman" w:hAnsi="Times New Roman" w:eastAsia="楷体_GB2312"/>
      <w:bCs/>
      <w:kern w:val="28"/>
      <w:sz w:val="32"/>
      <w:szCs w:val="32"/>
    </w:rPr>
  </w:style>
  <w:style w:type="paragraph" w:styleId="42">
    <w:name w:val="List Paragraph"/>
    <w:basedOn w:val="1"/>
    <w:qFormat/>
    <w:uiPriority w:val="34"/>
    <w:pPr>
      <w:ind w:firstLine="420"/>
    </w:pPr>
  </w:style>
  <w:style w:type="paragraph" w:styleId="43">
    <w:name w:val="Quote"/>
    <w:basedOn w:val="1"/>
    <w:next w:val="1"/>
    <w:link w:val="44"/>
    <w:qFormat/>
    <w:uiPriority w:val="29"/>
    <w:pPr>
      <w:spacing w:line="240" w:lineRule="auto"/>
      <w:jc w:val="left"/>
    </w:pPr>
    <w:rPr>
      <w:iCs/>
      <w:color w:val="404040" w:themeColor="text1" w:themeTint="BF"/>
      <w:sz w:val="24"/>
      <w14:textFill>
        <w14:solidFill>
          <w14:schemeClr w14:val="tx1">
            <w14:lumMod w14:val="75000"/>
            <w14:lumOff w14:val="25000"/>
          </w14:schemeClr>
        </w14:solidFill>
      </w14:textFill>
    </w:rPr>
  </w:style>
  <w:style w:type="character" w:customStyle="1" w:styleId="44">
    <w:name w:val="引用 Char"/>
    <w:basedOn w:val="22"/>
    <w:link w:val="43"/>
    <w:qFormat/>
    <w:uiPriority w:val="29"/>
    <w:rPr>
      <w:rFonts w:ascii="Times New Roman" w:hAnsi="Times New Roman" w:eastAsia="仿宋_GB2312"/>
      <w:iCs/>
      <w:color w:val="404040" w:themeColor="text1" w:themeTint="BF"/>
      <w:kern w:val="2"/>
      <w:sz w:val="24"/>
      <w:szCs w:val="22"/>
      <w14:textFill>
        <w14:solidFill>
          <w14:schemeClr w14:val="tx1">
            <w14:lumMod w14:val="75000"/>
            <w14:lumOff w14:val="25000"/>
          </w14:schemeClr>
        </w14:solidFill>
      </w14:textFill>
    </w:rPr>
  </w:style>
  <w:style w:type="paragraph" w:customStyle="1" w:styleId="45">
    <w:name w:val="TOC 标题1"/>
    <w:basedOn w:val="2"/>
    <w:next w:val="1"/>
    <w:semiHidden/>
    <w:unhideWhenUsed/>
    <w:qFormat/>
    <w:uiPriority w:val="39"/>
    <w:pPr>
      <w:keepNext/>
      <w:keepLines/>
      <w:widowControl w:val="0"/>
      <w:spacing w:before="340" w:after="330" w:line="578" w:lineRule="atLeast"/>
      <w:jc w:val="both"/>
      <w:outlineLvl w:val="9"/>
    </w:pPr>
    <w:rPr>
      <w:rFonts w:eastAsia="仿宋_GB2312" w:cstheme="majorBidi"/>
      <w:b/>
      <w:kern w:val="44"/>
      <w:sz w:val="44"/>
      <w:szCs w:val="44"/>
    </w:rPr>
  </w:style>
  <w:style w:type="character" w:customStyle="1" w:styleId="46">
    <w:name w:val="页眉 Char"/>
    <w:basedOn w:val="22"/>
    <w:link w:val="16"/>
    <w:qFormat/>
    <w:uiPriority w:val="99"/>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385BE5-E1D8-4C1E-BBF5-A50F6CBEF6A2}">
  <ds:schemaRefs/>
</ds:datastoreItem>
</file>

<file path=docProps/app.xml><?xml version="1.0" encoding="utf-8"?>
<Properties xmlns="http://schemas.openxmlformats.org/officeDocument/2006/extended-properties" xmlns:vt="http://schemas.openxmlformats.org/officeDocument/2006/docPropsVTypes">
  <Template>Normal</Template>
  <Company>IT天空-www.itsk.com</Company>
  <Pages>1</Pages>
  <Words>335</Words>
  <Characters>1915</Characters>
  <Lines>15</Lines>
  <Paragraphs>4</Paragraphs>
  <TotalTime>9</TotalTime>
  <ScaleCrop>false</ScaleCrop>
  <LinksUpToDate>false</LinksUpToDate>
  <CharactersWithSpaces>2246</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2024-04-01T05:46:00Z</dcterms:created>
  <dc:creator>Windows 用户</dc:creator>
  <cp:lastModifiedBy>不知名奶茶鉴定家</cp:lastModifiedBy>
  <dcterms:modified xsi:type="dcterms:W3CDTF">2024-04-08T02:31:14Z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E0288851801442ABBAEDA34E0F43D674_13</vt:lpwstr>
  </property>
</Properties>
</file>